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E49" w:rsidRPr="00CF3E75" w:rsidRDefault="00DD0E49" w:rsidP="00730562">
      <w:pPr>
        <w:spacing w:before="100" w:beforeAutospacing="1" w:after="100" w:afterAutospacing="1"/>
        <w:jc w:val="center"/>
        <w:rPr>
          <w:rFonts w:ascii="Times" w:hAnsi="Times"/>
          <w:b/>
          <w:bCs/>
          <w:color w:val="00B050"/>
          <w:sz w:val="56"/>
          <w:szCs w:val="56"/>
        </w:rPr>
      </w:pPr>
      <w:r w:rsidRPr="00CF3E75">
        <w:rPr>
          <w:rFonts w:ascii="Times" w:hAnsi="Times"/>
          <w:b/>
          <w:bCs/>
          <w:color w:val="00B050"/>
          <w:sz w:val="56"/>
          <w:szCs w:val="56"/>
        </w:rPr>
        <w:t xml:space="preserve">DOCUMENTO AGGIORNAMENTO PTPCT triennio 2017 – 2019 </w:t>
      </w:r>
    </w:p>
    <w:p w:rsidR="00455315" w:rsidRDefault="00455315" w:rsidP="00730562">
      <w:pPr>
        <w:spacing w:before="100" w:beforeAutospacing="1" w:after="100" w:afterAutospacing="1"/>
        <w:jc w:val="center"/>
        <w:rPr>
          <w:rFonts w:ascii="Times" w:hAnsi="Times"/>
          <w:b/>
          <w:bCs/>
          <w:color w:val="00B050"/>
          <w:sz w:val="56"/>
          <w:szCs w:val="56"/>
        </w:rPr>
      </w:pPr>
      <w:r w:rsidRPr="00CF3E75">
        <w:rPr>
          <w:rFonts w:ascii="Times" w:hAnsi="Times"/>
          <w:b/>
          <w:bCs/>
          <w:color w:val="00B050"/>
          <w:sz w:val="56"/>
          <w:szCs w:val="56"/>
        </w:rPr>
        <w:t>Prevenzione della corruzione e trasparenza nel Comune di Montepulciano</w:t>
      </w:r>
    </w:p>
    <w:p w:rsidR="00702359" w:rsidRPr="00702359" w:rsidRDefault="00702359" w:rsidP="001406AD">
      <w:pPr>
        <w:spacing w:before="100" w:beforeAutospacing="1" w:after="100" w:afterAutospacing="1"/>
        <w:jc w:val="both"/>
        <w:rPr>
          <w:rFonts w:ascii="Times" w:hAnsi="Times"/>
          <w:b/>
          <w:bCs/>
          <w:color w:val="00B050"/>
          <w:sz w:val="32"/>
          <w:szCs w:val="32"/>
          <w:u w:val="single"/>
        </w:rPr>
      </w:pPr>
      <w:r w:rsidRPr="00702359">
        <w:rPr>
          <w:rFonts w:ascii="Times" w:hAnsi="Times"/>
          <w:b/>
          <w:bCs/>
          <w:color w:val="00B050"/>
          <w:sz w:val="32"/>
          <w:szCs w:val="32"/>
          <w:u w:val="single"/>
        </w:rPr>
        <w:t>Il presente documento costituisce integrazione ed aggiornamento del Piano per la prevenzione d</w:t>
      </w:r>
      <w:r w:rsidR="001406AD">
        <w:rPr>
          <w:rFonts w:ascii="Times" w:hAnsi="Times"/>
          <w:b/>
          <w:bCs/>
          <w:color w:val="00B050"/>
          <w:sz w:val="32"/>
          <w:szCs w:val="32"/>
          <w:u w:val="single"/>
        </w:rPr>
        <w:t xml:space="preserve">ella corruzione e trasparenza -  triennio 2017 – 2019 -  </w:t>
      </w:r>
      <w:r w:rsidRPr="00702359">
        <w:rPr>
          <w:rFonts w:ascii="Times" w:hAnsi="Times"/>
          <w:b/>
          <w:bCs/>
          <w:color w:val="00B050"/>
          <w:sz w:val="32"/>
          <w:szCs w:val="32"/>
          <w:u w:val="single"/>
        </w:rPr>
        <w:t>deliberazione della Giunta Comunale n. ____ in data</w:t>
      </w:r>
      <w:r w:rsidR="001406AD">
        <w:rPr>
          <w:rFonts w:ascii="Times" w:hAnsi="Times"/>
          <w:b/>
          <w:bCs/>
          <w:color w:val="00B050"/>
          <w:sz w:val="32"/>
          <w:szCs w:val="32"/>
          <w:u w:val="single"/>
        </w:rPr>
        <w:t xml:space="preserve"> 30 gennaio 2017 </w:t>
      </w:r>
    </w:p>
    <w:p w:rsidR="00DD0E49" w:rsidRDefault="00DD0E49" w:rsidP="00730562">
      <w:pPr>
        <w:spacing w:before="100" w:beforeAutospacing="1" w:after="100" w:afterAutospacing="1"/>
        <w:jc w:val="center"/>
        <w:rPr>
          <w:rFonts w:ascii="Times" w:hAnsi="Times"/>
          <w:b/>
          <w:bCs/>
          <w:sz w:val="56"/>
          <w:szCs w:val="56"/>
        </w:rPr>
      </w:pPr>
    </w:p>
    <w:p w:rsidR="00DD0E49" w:rsidRDefault="00DD0E49" w:rsidP="00730562">
      <w:pPr>
        <w:spacing w:before="100" w:beforeAutospacing="1" w:after="100" w:afterAutospacing="1"/>
        <w:jc w:val="center"/>
        <w:rPr>
          <w:rFonts w:ascii="Times" w:hAnsi="Times"/>
          <w:b/>
          <w:bCs/>
          <w:sz w:val="56"/>
          <w:szCs w:val="56"/>
        </w:rPr>
      </w:pPr>
    </w:p>
    <w:p w:rsidR="00730562" w:rsidRPr="00CF3E75" w:rsidRDefault="00730562" w:rsidP="00730562">
      <w:pPr>
        <w:spacing w:before="100" w:beforeAutospacing="1" w:after="100" w:afterAutospacing="1"/>
        <w:jc w:val="center"/>
        <w:rPr>
          <w:rFonts w:ascii="Times" w:hAnsi="Times"/>
          <w:color w:val="002060"/>
          <w:sz w:val="20"/>
          <w:szCs w:val="20"/>
        </w:rPr>
      </w:pPr>
      <w:r w:rsidRPr="00CF3E75">
        <w:rPr>
          <w:rFonts w:ascii="Times" w:hAnsi="Times"/>
          <w:b/>
          <w:bCs/>
          <w:color w:val="002060"/>
          <w:sz w:val="56"/>
          <w:szCs w:val="56"/>
        </w:rPr>
        <w:t>Documento Unico di Programmazione</w:t>
      </w:r>
    </w:p>
    <w:p w:rsidR="00730562" w:rsidRDefault="00730562" w:rsidP="00730562">
      <w:pPr>
        <w:widowControl w:val="0"/>
        <w:autoSpaceDE w:val="0"/>
        <w:autoSpaceDN w:val="0"/>
        <w:adjustRightInd w:val="0"/>
        <w:spacing w:after="240"/>
        <w:jc w:val="center"/>
        <w:rPr>
          <w:rFonts w:ascii="Times" w:hAnsi="Times" w:cs="Times"/>
        </w:rPr>
      </w:pPr>
      <w:r w:rsidRPr="00CF3E75">
        <w:rPr>
          <w:rFonts w:ascii="Times" w:hAnsi="Times" w:cs="Times"/>
          <w:b/>
          <w:bCs/>
          <w:color w:val="002060"/>
          <w:sz w:val="64"/>
          <w:szCs w:val="64"/>
        </w:rPr>
        <w:t>2017 - 2018 - 2019</w:t>
      </w:r>
    </w:p>
    <w:p w:rsidR="00730562" w:rsidRDefault="00730562" w:rsidP="00730562">
      <w:pPr>
        <w:spacing w:before="100" w:beforeAutospacing="1" w:after="100" w:afterAutospacing="1"/>
        <w:jc w:val="center"/>
        <w:rPr>
          <w:rFonts w:ascii="Times" w:hAnsi="Times"/>
          <w:b/>
          <w:bCs/>
          <w:sz w:val="28"/>
          <w:szCs w:val="28"/>
        </w:rPr>
      </w:pPr>
      <w:r>
        <w:rPr>
          <w:rFonts w:ascii="Times" w:hAnsi="Times"/>
          <w:b/>
          <w:bCs/>
          <w:sz w:val="28"/>
          <w:szCs w:val="28"/>
        </w:rPr>
        <w:t xml:space="preserve"> Ai sensi del D. </w:t>
      </w:r>
      <w:proofErr w:type="spellStart"/>
      <w:r>
        <w:rPr>
          <w:rFonts w:ascii="Times" w:hAnsi="Times"/>
          <w:b/>
          <w:bCs/>
          <w:sz w:val="28"/>
          <w:szCs w:val="28"/>
        </w:rPr>
        <w:t>Lgs</w:t>
      </w:r>
      <w:proofErr w:type="spellEnd"/>
      <w:r>
        <w:rPr>
          <w:rFonts w:ascii="Times" w:hAnsi="Times"/>
          <w:b/>
          <w:bCs/>
          <w:sz w:val="28"/>
          <w:szCs w:val="28"/>
        </w:rPr>
        <w:t>. 118/2011</w:t>
      </w:r>
    </w:p>
    <w:p w:rsidR="00730562" w:rsidRDefault="00730562" w:rsidP="00730562">
      <w:pPr>
        <w:spacing w:before="100" w:beforeAutospacing="1" w:after="100" w:afterAutospacing="1"/>
        <w:jc w:val="center"/>
        <w:rPr>
          <w:rFonts w:ascii="Times" w:hAnsi="Times"/>
          <w:b/>
          <w:bCs/>
          <w:color w:val="C00000"/>
          <w:sz w:val="28"/>
          <w:szCs w:val="28"/>
        </w:rPr>
      </w:pPr>
    </w:p>
    <w:p w:rsidR="00730562" w:rsidRDefault="00730562" w:rsidP="00730562">
      <w:pPr>
        <w:pStyle w:val="NormaleWeb"/>
        <w:jc w:val="both"/>
        <w:rPr>
          <w:b/>
          <w:bCs/>
          <w:color w:val="002060"/>
          <w:sz w:val="28"/>
          <w:szCs w:val="28"/>
        </w:rPr>
      </w:pPr>
      <w:r w:rsidRPr="00CF3E75">
        <w:rPr>
          <w:b/>
          <w:bCs/>
          <w:color w:val="002060"/>
          <w:sz w:val="28"/>
          <w:szCs w:val="28"/>
        </w:rPr>
        <w:t xml:space="preserve">Obiettivi strategici  in materia di Trasparenza ed </w:t>
      </w:r>
      <w:proofErr w:type="spellStart"/>
      <w:r w:rsidRPr="00CF3E75">
        <w:rPr>
          <w:b/>
          <w:bCs/>
          <w:color w:val="002060"/>
          <w:sz w:val="28"/>
          <w:szCs w:val="28"/>
        </w:rPr>
        <w:t>Intregrità</w:t>
      </w:r>
      <w:proofErr w:type="spellEnd"/>
      <w:r w:rsidRPr="00CF3E75">
        <w:rPr>
          <w:b/>
          <w:bCs/>
          <w:color w:val="002060"/>
          <w:sz w:val="28"/>
          <w:szCs w:val="28"/>
        </w:rPr>
        <w:t xml:space="preserve"> e  azioni  relative alla pre</w:t>
      </w:r>
      <w:r w:rsidR="003D5161" w:rsidRPr="00CF3E75">
        <w:rPr>
          <w:b/>
          <w:bCs/>
          <w:color w:val="002060"/>
          <w:sz w:val="28"/>
          <w:szCs w:val="28"/>
        </w:rPr>
        <w:t>venzione della corruzione e della</w:t>
      </w:r>
      <w:r w:rsidRPr="00CF3E75">
        <w:rPr>
          <w:b/>
          <w:bCs/>
          <w:color w:val="002060"/>
          <w:sz w:val="28"/>
          <w:szCs w:val="28"/>
        </w:rPr>
        <w:t xml:space="preserve"> illegalità – INTEGRAZIONE Programma triennale della trasparenza ed integrità nel Piano Triennale di Prevenzione della corruzione – </w:t>
      </w:r>
      <w:proofErr w:type="spellStart"/>
      <w:r w:rsidRPr="00CF3E75">
        <w:rPr>
          <w:b/>
          <w:bCs/>
          <w:color w:val="002060"/>
          <w:sz w:val="28"/>
          <w:szCs w:val="28"/>
        </w:rPr>
        <w:t>D.Lgv</w:t>
      </w:r>
      <w:proofErr w:type="spellEnd"/>
      <w:r w:rsidRPr="00CF3E75">
        <w:rPr>
          <w:b/>
          <w:bCs/>
          <w:color w:val="002060"/>
          <w:sz w:val="28"/>
          <w:szCs w:val="28"/>
        </w:rPr>
        <w:t xml:space="preserve"> 33/2013  Legge 190/2012 – Modificazioni apportate con il </w:t>
      </w:r>
      <w:proofErr w:type="spellStart"/>
      <w:r w:rsidRPr="00CF3E75">
        <w:rPr>
          <w:b/>
          <w:bCs/>
          <w:color w:val="002060"/>
          <w:sz w:val="28"/>
          <w:szCs w:val="28"/>
        </w:rPr>
        <w:t>D.Lgv</w:t>
      </w:r>
      <w:proofErr w:type="spellEnd"/>
      <w:r w:rsidRPr="00CF3E75">
        <w:rPr>
          <w:b/>
          <w:bCs/>
          <w:color w:val="002060"/>
          <w:sz w:val="28"/>
          <w:szCs w:val="28"/>
        </w:rPr>
        <w:t xml:space="preserve"> 97/2016 in vigore dal 23 dicembre 2016</w:t>
      </w:r>
      <w:r w:rsidR="00C44B52" w:rsidRPr="00CF3E75">
        <w:rPr>
          <w:b/>
          <w:bCs/>
          <w:color w:val="002060"/>
          <w:sz w:val="28"/>
          <w:szCs w:val="28"/>
        </w:rPr>
        <w:t xml:space="preserve"> – PNA 2016 approvato con Deliberazione ANAC  n. 831/2016 </w:t>
      </w:r>
      <w:r w:rsidR="00A339D3" w:rsidRPr="00CF3E75">
        <w:rPr>
          <w:b/>
          <w:bCs/>
          <w:color w:val="002060"/>
          <w:sz w:val="28"/>
          <w:szCs w:val="28"/>
        </w:rPr>
        <w:t xml:space="preserve"> - Allegato 1 Sezione “Amministrazione </w:t>
      </w:r>
      <w:r w:rsidR="00A339D3" w:rsidRPr="00CF3E75">
        <w:rPr>
          <w:b/>
          <w:bCs/>
          <w:color w:val="002060"/>
          <w:sz w:val="28"/>
          <w:szCs w:val="28"/>
        </w:rPr>
        <w:lastRenderedPageBreak/>
        <w:t>trasparente” Elenco obblighi di pubblicità – Deliberazione ANAC n. 1310 in data 28 dicembre 2016.</w:t>
      </w:r>
    </w:p>
    <w:p w:rsidR="00730562" w:rsidRPr="00853D16" w:rsidRDefault="00853D16" w:rsidP="00853D16">
      <w:pPr>
        <w:pStyle w:val="NormaleWeb"/>
        <w:jc w:val="both"/>
        <w:rPr>
          <w:b/>
          <w:bCs/>
          <w:color w:val="002060"/>
          <w:sz w:val="28"/>
          <w:szCs w:val="28"/>
          <w:u w:val="single"/>
        </w:rPr>
      </w:pPr>
      <w:r>
        <w:rPr>
          <w:b/>
          <w:bCs/>
          <w:color w:val="002060"/>
          <w:sz w:val="28"/>
          <w:szCs w:val="28"/>
          <w:u w:val="single"/>
        </w:rPr>
        <w:t>Nota  Società partecipate</w:t>
      </w:r>
      <w:bookmarkStart w:id="0" w:name="_GoBack"/>
      <w:bookmarkEnd w:id="0"/>
    </w:p>
    <w:p w:rsidR="00730562" w:rsidRDefault="00730562" w:rsidP="00730562">
      <w:pPr>
        <w:spacing w:after="0"/>
        <w:jc w:val="center"/>
        <w:rPr>
          <w:b/>
        </w:rPr>
      </w:pPr>
    </w:p>
    <w:p w:rsidR="00730562" w:rsidRDefault="00730562" w:rsidP="00730562">
      <w:pPr>
        <w:spacing w:after="0"/>
        <w:jc w:val="center"/>
        <w:rPr>
          <w:b/>
        </w:rPr>
      </w:pPr>
    </w:p>
    <w:p w:rsidR="00730562" w:rsidRDefault="00730562" w:rsidP="00730562">
      <w:pPr>
        <w:spacing w:after="0"/>
        <w:jc w:val="center"/>
        <w:rPr>
          <w:b/>
        </w:rPr>
      </w:pPr>
    </w:p>
    <w:p w:rsidR="00730562" w:rsidRPr="00CF3E75" w:rsidRDefault="00730562" w:rsidP="00730562">
      <w:pPr>
        <w:spacing w:after="0"/>
        <w:jc w:val="center"/>
        <w:rPr>
          <w:rFonts w:ascii="Kristen ITC" w:hAnsi="Kristen ITC"/>
          <w:b/>
          <w:color w:val="002060"/>
          <w:sz w:val="24"/>
          <w:szCs w:val="24"/>
        </w:rPr>
      </w:pPr>
      <w:r w:rsidRPr="00CF3E75">
        <w:rPr>
          <w:rFonts w:ascii="Kristen ITC" w:hAnsi="Kristen ITC"/>
          <w:b/>
          <w:color w:val="002060"/>
          <w:sz w:val="24"/>
          <w:szCs w:val="24"/>
        </w:rPr>
        <w:t>INTRODUZIONE</w:t>
      </w:r>
    </w:p>
    <w:p w:rsidR="00730562" w:rsidRPr="003D5161" w:rsidRDefault="00730562" w:rsidP="00730562">
      <w:pPr>
        <w:spacing w:after="0"/>
        <w:jc w:val="both"/>
        <w:rPr>
          <w:rFonts w:ascii="Kristen ITC" w:hAnsi="Kristen ITC"/>
          <w:sz w:val="24"/>
          <w:szCs w:val="24"/>
        </w:rPr>
      </w:pPr>
    </w:p>
    <w:p w:rsidR="00730562" w:rsidRPr="003D5161" w:rsidRDefault="00730562" w:rsidP="00730562">
      <w:pPr>
        <w:spacing w:after="0"/>
        <w:jc w:val="both"/>
        <w:rPr>
          <w:rFonts w:ascii="Kristen ITC" w:hAnsi="Kristen ITC"/>
          <w:sz w:val="24"/>
          <w:szCs w:val="24"/>
        </w:rPr>
      </w:pPr>
      <w:r w:rsidRPr="003D5161">
        <w:rPr>
          <w:rFonts w:ascii="Kristen ITC" w:hAnsi="Kristen ITC"/>
          <w:sz w:val="24"/>
          <w:szCs w:val="24"/>
        </w:rPr>
        <w:t xml:space="preserve">Il sistema contabile introdotto con il D. </w:t>
      </w:r>
      <w:proofErr w:type="spellStart"/>
      <w:r w:rsidRPr="003D5161">
        <w:rPr>
          <w:rFonts w:ascii="Kristen ITC" w:hAnsi="Kristen ITC"/>
          <w:sz w:val="24"/>
          <w:szCs w:val="24"/>
        </w:rPr>
        <w:t>Lgs</w:t>
      </w:r>
      <w:proofErr w:type="spellEnd"/>
      <w:r w:rsidRPr="003D5161">
        <w:rPr>
          <w:rFonts w:ascii="Kristen ITC" w:hAnsi="Kristen ITC"/>
          <w:sz w:val="24"/>
          <w:szCs w:val="24"/>
        </w:rPr>
        <w:t xml:space="preserve"> 118/2011 e integrato dal D. </w:t>
      </w:r>
      <w:proofErr w:type="spellStart"/>
      <w:r w:rsidRPr="003D5161">
        <w:rPr>
          <w:rFonts w:ascii="Kristen ITC" w:hAnsi="Kristen ITC"/>
          <w:sz w:val="24"/>
          <w:szCs w:val="24"/>
        </w:rPr>
        <w:t>Lgs</w:t>
      </w:r>
      <w:proofErr w:type="spellEnd"/>
      <w:r w:rsidRPr="003D5161">
        <w:rPr>
          <w:rFonts w:ascii="Kristen ITC" w:hAnsi="Kristen ITC"/>
          <w:sz w:val="24"/>
          <w:szCs w:val="24"/>
        </w:rPr>
        <w:t xml:space="preserve"> 126/2014, accanto alla ridefinizione di principi contabili innovativi, che a differenza del passato assumono oggi rango di legge, ha previsto un generale potenziamento dell'attività di programmazione degli enti locali, che si sostanzia nella predisposizione di un unico fondamentale documento, propedeutico alla formulazione del bilancio previsionale, che unifica e riassume tutti i previgenti documenti di programmazione allegati al bilancio (relazione previsionale e programmatica, piano delle opere pubbliche, piano delle alienazioni, conto del personale, etc.).</w:t>
      </w:r>
    </w:p>
    <w:p w:rsidR="00730562" w:rsidRPr="003D5161" w:rsidRDefault="00730562" w:rsidP="00730562">
      <w:pPr>
        <w:spacing w:after="0"/>
        <w:jc w:val="both"/>
        <w:rPr>
          <w:rFonts w:ascii="Kristen ITC" w:hAnsi="Kristen ITC"/>
          <w:sz w:val="24"/>
          <w:szCs w:val="24"/>
        </w:rPr>
      </w:pPr>
      <w:r w:rsidRPr="003D5161">
        <w:rPr>
          <w:rFonts w:ascii="Kristen ITC" w:hAnsi="Kristen ITC"/>
          <w:sz w:val="24"/>
          <w:szCs w:val="24"/>
        </w:rPr>
        <w:t xml:space="preserve">Il Documento Unico di Programmazione, nella sua duplice formulazione “strategica” e “operativa” rappresenta pertanto una guida, sia per gli amministratori, sia per i funzionari comunali, che sono tenuti entrambi a improntare le loro decisioni e attività a quanto in esso contenuto. Costituisce quindi lo strumento fondamentale e il presupposto necessario per garantire coordinamento e coerenza all'azione amministrativa in relazione ai documenti di indirizzo politico - programma del Sindaco e Linee Programmatiche - approvati dal Consiglio Comunale. </w:t>
      </w:r>
    </w:p>
    <w:p w:rsidR="00730562" w:rsidRPr="003D5161" w:rsidRDefault="00730562" w:rsidP="00730562">
      <w:pPr>
        <w:spacing w:after="0"/>
        <w:jc w:val="both"/>
        <w:rPr>
          <w:rFonts w:ascii="Kristen ITC" w:hAnsi="Kristen ITC"/>
          <w:sz w:val="24"/>
          <w:szCs w:val="24"/>
        </w:rPr>
      </w:pPr>
      <w:r w:rsidRPr="003D5161">
        <w:rPr>
          <w:rFonts w:ascii="Kristen ITC" w:hAnsi="Kristen ITC"/>
          <w:sz w:val="24"/>
          <w:szCs w:val="24"/>
        </w:rPr>
        <w:t xml:space="preserve">La valenza strategica e operativa del DUP va inoltre inquadrata anche nell’ambito delle attività di programmazione, pianificazione e monitoraggio delle azioni di contrasto ai fenomeni corruttivi in particolare alla luce della Legge n.190/2012 e </w:t>
      </w:r>
      <w:proofErr w:type="spellStart"/>
      <w:r w:rsidRPr="003D5161">
        <w:rPr>
          <w:rFonts w:ascii="Kristen ITC" w:hAnsi="Kristen ITC"/>
          <w:sz w:val="24"/>
          <w:szCs w:val="24"/>
        </w:rPr>
        <w:t>s.m</w:t>
      </w:r>
      <w:proofErr w:type="spellEnd"/>
      <w:r w:rsidRPr="003D5161">
        <w:rPr>
          <w:rFonts w:ascii="Kristen ITC" w:hAnsi="Kristen ITC"/>
          <w:sz w:val="24"/>
          <w:szCs w:val="24"/>
        </w:rPr>
        <w:t xml:space="preserve">. e i., del </w:t>
      </w:r>
      <w:proofErr w:type="spellStart"/>
      <w:r w:rsidRPr="003D5161">
        <w:rPr>
          <w:rFonts w:ascii="Kristen ITC" w:hAnsi="Kristen ITC"/>
          <w:sz w:val="24"/>
          <w:szCs w:val="24"/>
        </w:rPr>
        <w:t>D.Lgs</w:t>
      </w:r>
      <w:proofErr w:type="spellEnd"/>
      <w:r w:rsidRPr="003D5161">
        <w:rPr>
          <w:rFonts w:ascii="Kristen ITC" w:hAnsi="Kristen ITC"/>
          <w:sz w:val="24"/>
          <w:szCs w:val="24"/>
        </w:rPr>
        <w:t xml:space="preserve"> n.33/2013 e del Piano Nazionale Anticorruzione approvato dall’ANAC. </w:t>
      </w:r>
    </w:p>
    <w:p w:rsidR="00730562" w:rsidRPr="003D5161" w:rsidRDefault="00730562" w:rsidP="00730562">
      <w:pPr>
        <w:spacing w:after="0"/>
        <w:jc w:val="both"/>
        <w:rPr>
          <w:rFonts w:ascii="Kristen ITC" w:hAnsi="Kristen ITC"/>
          <w:b/>
          <w:bCs/>
          <w:sz w:val="24"/>
          <w:szCs w:val="24"/>
        </w:rPr>
      </w:pPr>
    </w:p>
    <w:p w:rsidR="00730562" w:rsidRPr="003D5161" w:rsidRDefault="00730562" w:rsidP="00730562">
      <w:pPr>
        <w:spacing w:after="0"/>
        <w:jc w:val="both"/>
        <w:rPr>
          <w:rFonts w:ascii="Kristen ITC" w:hAnsi="Kristen ITC"/>
          <w:sz w:val="24"/>
          <w:szCs w:val="24"/>
        </w:rPr>
      </w:pPr>
      <w:r w:rsidRPr="003D5161">
        <w:rPr>
          <w:rFonts w:ascii="Kristen ITC" w:hAnsi="Kristen ITC"/>
          <w:b/>
          <w:bCs/>
          <w:sz w:val="24"/>
          <w:szCs w:val="24"/>
        </w:rPr>
        <w:t xml:space="preserve">La sezione Strategica (DUP. </w:t>
      </w:r>
      <w:proofErr w:type="spellStart"/>
      <w:r w:rsidRPr="003D5161">
        <w:rPr>
          <w:rFonts w:ascii="Kristen ITC" w:hAnsi="Kristen ITC"/>
          <w:b/>
          <w:bCs/>
          <w:sz w:val="24"/>
          <w:szCs w:val="24"/>
        </w:rPr>
        <w:t>SeS</w:t>
      </w:r>
      <w:proofErr w:type="spellEnd"/>
      <w:r w:rsidRPr="003D5161">
        <w:rPr>
          <w:rFonts w:ascii="Kristen ITC" w:hAnsi="Kristen ITC"/>
          <w:b/>
          <w:bCs/>
          <w:sz w:val="24"/>
          <w:szCs w:val="24"/>
        </w:rPr>
        <w:t xml:space="preserve">) </w:t>
      </w:r>
      <w:r w:rsidRPr="003D5161">
        <w:rPr>
          <w:rFonts w:ascii="Kristen ITC" w:hAnsi="Kristen ITC"/>
          <w:sz w:val="24"/>
          <w:szCs w:val="24"/>
        </w:rPr>
        <w:t xml:space="preserve">sviluppa e concretizza le Linee Programmatiche di Mandato e individua, in coerenza con il quadro normativo di riferimento, gli indirizzi strategici dell'Ente con un orizzonte temporale di riferimento che corrisponde al mandato amministrativo. Il quadro strategico di riferimento è definito anche in coerenza con le linee di indirizzo regionale e tenendo conto del concorso di ogni ente locale al perseguimento degli obiettivi di finanza pubblica definiti in ambito nazionale, secondo i criteri stabiliti dall'Unione Europea. </w:t>
      </w:r>
    </w:p>
    <w:p w:rsidR="00730562" w:rsidRPr="003D5161" w:rsidRDefault="00730562" w:rsidP="00730562">
      <w:pPr>
        <w:spacing w:after="0"/>
        <w:jc w:val="both"/>
        <w:rPr>
          <w:rFonts w:ascii="Kristen ITC" w:hAnsi="Kristen ITC"/>
          <w:sz w:val="24"/>
          <w:szCs w:val="24"/>
        </w:rPr>
      </w:pPr>
      <w:r w:rsidRPr="003D5161">
        <w:rPr>
          <w:rFonts w:ascii="Kristen ITC" w:hAnsi="Kristen ITC"/>
          <w:sz w:val="24"/>
          <w:szCs w:val="24"/>
        </w:rPr>
        <w:lastRenderedPageBreak/>
        <w:t xml:space="preserve">La sezione Strategica individua pertanto le principali scelte che caratterizzano il programma politico dell'Amministrazione da realizzare nel corso del mandato e gli indirizzi generali da impartire alla tecnostruttura per il raggiungimento delle proprie finalità istituzionali. In tale Sezione devono essere, inoltre, indicati gli strumenti attraverso i quali l'Ente intende rendicontare il proprio operato in maniera sistematica e trasparente, al fine di rendere edotti i cittadini del buon uso delle risorse pubbliche e del grado di realizzazione e raggiungimento dei programmi e degli obiettivi fissati dall'Amministrazione. </w:t>
      </w:r>
    </w:p>
    <w:p w:rsidR="00730562" w:rsidRPr="003D5161" w:rsidRDefault="00730562" w:rsidP="00730562">
      <w:pPr>
        <w:spacing w:after="0"/>
        <w:jc w:val="both"/>
        <w:rPr>
          <w:rFonts w:ascii="Kristen ITC" w:hAnsi="Kristen ITC"/>
          <w:sz w:val="24"/>
          <w:szCs w:val="24"/>
        </w:rPr>
      </w:pPr>
      <w:r w:rsidRPr="003D5161">
        <w:rPr>
          <w:rFonts w:ascii="Kristen ITC" w:hAnsi="Kristen ITC"/>
          <w:sz w:val="24"/>
          <w:szCs w:val="24"/>
        </w:rPr>
        <w:t>Gli indirizzi e obiettivi strategici sono suddivisi per Missioni attraverso le quali si sviluppano le Azioni correlate a ciascuno degli obiettivi strategici.</w:t>
      </w:r>
    </w:p>
    <w:p w:rsidR="00730562" w:rsidRPr="003D5161" w:rsidRDefault="00730562" w:rsidP="00730562">
      <w:pPr>
        <w:spacing w:after="0"/>
        <w:jc w:val="both"/>
        <w:rPr>
          <w:rFonts w:ascii="Kristen ITC" w:hAnsi="Kristen ITC"/>
          <w:sz w:val="24"/>
          <w:szCs w:val="24"/>
        </w:rPr>
      </w:pPr>
      <w:r w:rsidRPr="003D5161">
        <w:rPr>
          <w:rFonts w:ascii="Kristen ITC" w:hAnsi="Kristen ITC"/>
          <w:sz w:val="24"/>
          <w:szCs w:val="24"/>
        </w:rPr>
        <w:t>L'analisi strategica delle condizioni interne all'Ente ha richiesto di approfondire i seguenti profili:</w:t>
      </w:r>
    </w:p>
    <w:p w:rsidR="00730562" w:rsidRPr="003D5161" w:rsidRDefault="00730562" w:rsidP="00730562">
      <w:pPr>
        <w:spacing w:after="0"/>
        <w:jc w:val="both"/>
        <w:rPr>
          <w:rFonts w:ascii="Kristen ITC" w:hAnsi="Kristen ITC"/>
          <w:sz w:val="24"/>
          <w:szCs w:val="24"/>
        </w:rPr>
      </w:pPr>
      <w:r w:rsidRPr="003D5161">
        <w:rPr>
          <w:rFonts w:ascii="Kristen ITC" w:hAnsi="Kristen ITC"/>
          <w:sz w:val="24"/>
          <w:szCs w:val="24"/>
        </w:rPr>
        <w:sym w:font="Wingdings" w:char="F0A8"/>
      </w:r>
      <w:r w:rsidRPr="003D5161">
        <w:rPr>
          <w:rFonts w:ascii="Kristen ITC" w:hAnsi="Kristen ITC"/>
          <w:sz w:val="24"/>
          <w:szCs w:val="24"/>
        </w:rPr>
        <w:t xml:space="preserve"> </w:t>
      </w:r>
      <w:proofErr w:type="gramStart"/>
      <w:r w:rsidRPr="003D5161">
        <w:rPr>
          <w:rFonts w:ascii="Kristen ITC" w:hAnsi="Kristen ITC"/>
          <w:sz w:val="24"/>
          <w:szCs w:val="24"/>
        </w:rPr>
        <w:t>organizzazione</w:t>
      </w:r>
      <w:proofErr w:type="gramEnd"/>
      <w:r w:rsidRPr="003D5161">
        <w:rPr>
          <w:rFonts w:ascii="Kristen ITC" w:hAnsi="Kristen ITC"/>
          <w:sz w:val="24"/>
          <w:szCs w:val="24"/>
        </w:rPr>
        <w:t xml:space="preserve"> e modalità di gestione dei servizi pubblici locali, tenuto conto dei fabbisogni e dei costi standard, ridefinendo - anche in considerazione dei nuovi indirizzi legislativi di recente emanazione – il ruolo degli organismi ed enti strumentali, società controllate e partecipate, in relazione alla loro situazione economico finanziaria, agli obiettivi di servizio e gestionali, all'attività di controllo ove questa competa all'Ente;</w:t>
      </w:r>
    </w:p>
    <w:p w:rsidR="00730562" w:rsidRPr="003D5161" w:rsidRDefault="00730562" w:rsidP="00730562">
      <w:pPr>
        <w:spacing w:after="0"/>
        <w:jc w:val="both"/>
        <w:rPr>
          <w:rFonts w:ascii="Kristen ITC" w:hAnsi="Kristen ITC"/>
          <w:sz w:val="24"/>
          <w:szCs w:val="24"/>
        </w:rPr>
      </w:pPr>
    </w:p>
    <w:p w:rsidR="00730562" w:rsidRPr="003D5161" w:rsidRDefault="00730562" w:rsidP="00730562">
      <w:pPr>
        <w:spacing w:after="0"/>
        <w:jc w:val="both"/>
        <w:rPr>
          <w:rFonts w:ascii="Kristen ITC" w:hAnsi="Kristen ITC"/>
          <w:sz w:val="24"/>
          <w:szCs w:val="24"/>
        </w:rPr>
      </w:pPr>
      <w:r w:rsidRPr="003D5161">
        <w:rPr>
          <w:rFonts w:ascii="Kristen ITC" w:hAnsi="Kristen ITC"/>
          <w:sz w:val="24"/>
          <w:szCs w:val="24"/>
        </w:rPr>
        <w:sym w:font="Wingdings" w:char="F0A8"/>
      </w:r>
      <w:r w:rsidRPr="003D5161">
        <w:rPr>
          <w:rFonts w:ascii="Kristen ITC" w:hAnsi="Kristen ITC"/>
          <w:sz w:val="24"/>
          <w:szCs w:val="24"/>
        </w:rPr>
        <w:t xml:space="preserve"> </w:t>
      </w:r>
      <w:proofErr w:type="gramStart"/>
      <w:r w:rsidRPr="003D5161">
        <w:rPr>
          <w:rFonts w:ascii="Kristen ITC" w:hAnsi="Kristen ITC"/>
          <w:sz w:val="24"/>
          <w:szCs w:val="24"/>
        </w:rPr>
        <w:t>indirizzi</w:t>
      </w:r>
      <w:proofErr w:type="gramEnd"/>
      <w:r w:rsidRPr="003D5161">
        <w:rPr>
          <w:rFonts w:ascii="Kristen ITC" w:hAnsi="Kristen ITC"/>
          <w:sz w:val="24"/>
          <w:szCs w:val="24"/>
        </w:rPr>
        <w:t xml:space="preserve"> generali di natura strategica relativi alle risorse e agli impieghi e sostenibilità economico finanziaria dell'Ente, attuale e in prospettiva. </w:t>
      </w:r>
    </w:p>
    <w:p w:rsidR="00730562" w:rsidRPr="003D5161" w:rsidRDefault="00730562" w:rsidP="00730562">
      <w:pPr>
        <w:spacing w:after="0"/>
        <w:jc w:val="both"/>
        <w:rPr>
          <w:rFonts w:ascii="Kristen ITC" w:hAnsi="Kristen ITC"/>
          <w:sz w:val="24"/>
          <w:szCs w:val="24"/>
        </w:rPr>
      </w:pPr>
    </w:p>
    <w:p w:rsidR="00730562" w:rsidRPr="003D5161" w:rsidRDefault="00730562" w:rsidP="00730562">
      <w:pPr>
        <w:spacing w:after="0"/>
        <w:jc w:val="both"/>
        <w:rPr>
          <w:rFonts w:ascii="Kristen ITC" w:hAnsi="Kristen ITC"/>
          <w:sz w:val="24"/>
          <w:szCs w:val="24"/>
        </w:rPr>
      </w:pPr>
      <w:r w:rsidRPr="003D5161">
        <w:rPr>
          <w:rFonts w:ascii="Kristen ITC" w:hAnsi="Kristen ITC"/>
          <w:sz w:val="24"/>
          <w:szCs w:val="24"/>
        </w:rPr>
        <w:sym w:font="Wingdings" w:char="F0FE"/>
      </w:r>
      <w:r w:rsidRPr="003D5161">
        <w:rPr>
          <w:rFonts w:ascii="Kristen ITC" w:hAnsi="Kristen ITC"/>
          <w:sz w:val="24"/>
          <w:szCs w:val="24"/>
        </w:rPr>
        <w:t xml:space="preserve"> </w:t>
      </w:r>
      <w:proofErr w:type="gramStart"/>
      <w:r w:rsidRPr="003D5161">
        <w:rPr>
          <w:rFonts w:ascii="Kristen ITC" w:hAnsi="Kristen ITC"/>
          <w:sz w:val="24"/>
          <w:szCs w:val="24"/>
        </w:rPr>
        <w:t>predisposizione</w:t>
      </w:r>
      <w:proofErr w:type="gramEnd"/>
      <w:r w:rsidRPr="003D5161">
        <w:rPr>
          <w:rFonts w:ascii="Kristen ITC" w:hAnsi="Kristen ITC"/>
          <w:sz w:val="24"/>
          <w:szCs w:val="24"/>
        </w:rPr>
        <w:t xml:space="preserve"> della pianificazione strategica e organizzativa per il contrasto ai fenomeni corruttivi: modelli organizzativi, procedure adottate e monitoraggio. </w:t>
      </w:r>
    </w:p>
    <w:p w:rsidR="00730562" w:rsidRPr="003D5161" w:rsidRDefault="00730562" w:rsidP="00730562">
      <w:pPr>
        <w:spacing w:after="0"/>
        <w:jc w:val="both"/>
        <w:rPr>
          <w:rFonts w:ascii="Kristen ITC" w:hAnsi="Kristen ITC"/>
          <w:sz w:val="24"/>
          <w:szCs w:val="24"/>
        </w:rPr>
      </w:pPr>
    </w:p>
    <w:p w:rsidR="00730562" w:rsidRPr="003D5161" w:rsidRDefault="00730562" w:rsidP="00730562">
      <w:pPr>
        <w:spacing w:after="0"/>
        <w:jc w:val="both"/>
        <w:rPr>
          <w:rFonts w:ascii="Kristen ITC" w:hAnsi="Kristen ITC"/>
          <w:sz w:val="24"/>
          <w:szCs w:val="24"/>
        </w:rPr>
      </w:pPr>
      <w:r w:rsidRPr="003D5161">
        <w:rPr>
          <w:rFonts w:ascii="Kristen ITC" w:hAnsi="Kristen ITC"/>
          <w:sz w:val="24"/>
          <w:szCs w:val="24"/>
        </w:rPr>
        <w:t>Oggetto di specifico approfondimento sono stati:</w:t>
      </w:r>
    </w:p>
    <w:p w:rsidR="00730562" w:rsidRPr="003D5161" w:rsidRDefault="00730562" w:rsidP="00730562">
      <w:pPr>
        <w:spacing w:after="0"/>
        <w:jc w:val="both"/>
        <w:rPr>
          <w:rFonts w:ascii="Kristen ITC" w:hAnsi="Kristen ITC"/>
          <w:sz w:val="24"/>
          <w:szCs w:val="24"/>
        </w:rPr>
      </w:pPr>
    </w:p>
    <w:p w:rsidR="00730562" w:rsidRPr="003D5161" w:rsidRDefault="00730562" w:rsidP="00730562">
      <w:pPr>
        <w:spacing w:after="0"/>
        <w:jc w:val="both"/>
        <w:rPr>
          <w:rFonts w:ascii="Kristen ITC" w:hAnsi="Kristen ITC"/>
          <w:sz w:val="24"/>
          <w:szCs w:val="24"/>
        </w:rPr>
      </w:pPr>
      <w:r w:rsidRPr="003D5161">
        <w:rPr>
          <w:rFonts w:ascii="Kristen ITC" w:hAnsi="Kristen ITC"/>
          <w:sz w:val="24"/>
          <w:szCs w:val="24"/>
        </w:rPr>
        <w:sym w:font="Wingdings" w:char="F0A8"/>
      </w:r>
      <w:r w:rsidRPr="003D5161">
        <w:rPr>
          <w:rFonts w:ascii="Kristen ITC" w:hAnsi="Kristen ITC"/>
          <w:sz w:val="24"/>
          <w:szCs w:val="24"/>
        </w:rPr>
        <w:t xml:space="preserve"> </w:t>
      </w:r>
      <w:proofErr w:type="gramStart"/>
      <w:r w:rsidRPr="003D5161">
        <w:rPr>
          <w:rFonts w:ascii="Kristen ITC" w:hAnsi="Kristen ITC"/>
          <w:sz w:val="24"/>
          <w:szCs w:val="24"/>
        </w:rPr>
        <w:t>gli</w:t>
      </w:r>
      <w:proofErr w:type="gramEnd"/>
      <w:r w:rsidRPr="003D5161">
        <w:rPr>
          <w:rFonts w:ascii="Kristen ITC" w:hAnsi="Kristen ITC"/>
          <w:sz w:val="24"/>
          <w:szCs w:val="24"/>
        </w:rPr>
        <w:t xml:space="preserve"> investimenti e la correlata realizzazione delle opere pubbliche, con l'indicazione del fabbisogno di risorse da impiegare e l'identificazione della ricaduta in termini di maggiori oneri e spese correnti per ciascuno degli esercizi di riferimento della Sezione Strategica del D.U.P.;</w:t>
      </w:r>
    </w:p>
    <w:p w:rsidR="00730562" w:rsidRPr="003D5161" w:rsidRDefault="00730562" w:rsidP="00730562">
      <w:pPr>
        <w:spacing w:after="0"/>
        <w:jc w:val="both"/>
        <w:rPr>
          <w:rFonts w:ascii="Kristen ITC" w:hAnsi="Kristen ITC"/>
          <w:sz w:val="24"/>
          <w:szCs w:val="24"/>
        </w:rPr>
      </w:pPr>
    </w:p>
    <w:p w:rsidR="00730562" w:rsidRPr="003D5161" w:rsidRDefault="00730562" w:rsidP="00730562">
      <w:pPr>
        <w:spacing w:after="0"/>
        <w:jc w:val="both"/>
        <w:rPr>
          <w:rFonts w:ascii="Kristen ITC" w:hAnsi="Kristen ITC"/>
          <w:sz w:val="24"/>
          <w:szCs w:val="24"/>
        </w:rPr>
      </w:pPr>
      <w:r w:rsidRPr="003D5161">
        <w:rPr>
          <w:rFonts w:ascii="Kristen ITC" w:hAnsi="Kristen ITC"/>
          <w:sz w:val="24"/>
          <w:szCs w:val="24"/>
        </w:rPr>
        <w:sym w:font="Wingdings" w:char="F0A8"/>
      </w:r>
      <w:r w:rsidRPr="003D5161">
        <w:rPr>
          <w:rFonts w:ascii="Kristen ITC" w:hAnsi="Kristen ITC"/>
          <w:sz w:val="24"/>
          <w:szCs w:val="24"/>
        </w:rPr>
        <w:t xml:space="preserve"> </w:t>
      </w:r>
      <w:proofErr w:type="gramStart"/>
      <w:r w:rsidRPr="003D5161">
        <w:rPr>
          <w:rFonts w:ascii="Kristen ITC" w:hAnsi="Kristen ITC"/>
          <w:sz w:val="24"/>
          <w:szCs w:val="24"/>
        </w:rPr>
        <w:t>i</w:t>
      </w:r>
      <w:proofErr w:type="gramEnd"/>
      <w:r w:rsidRPr="003D5161">
        <w:rPr>
          <w:rFonts w:ascii="Kristen ITC" w:hAnsi="Kristen ITC"/>
          <w:sz w:val="24"/>
          <w:szCs w:val="24"/>
        </w:rPr>
        <w:t xml:space="preserve"> programmi e progetti di investimento in corso di esecuzione, da concludere;</w:t>
      </w:r>
    </w:p>
    <w:p w:rsidR="00730562" w:rsidRPr="003D5161" w:rsidRDefault="00730562" w:rsidP="00730562">
      <w:pPr>
        <w:spacing w:after="0"/>
        <w:jc w:val="both"/>
        <w:rPr>
          <w:rFonts w:ascii="Kristen ITC" w:hAnsi="Kristen ITC"/>
          <w:sz w:val="24"/>
          <w:szCs w:val="24"/>
        </w:rPr>
      </w:pPr>
    </w:p>
    <w:p w:rsidR="00730562" w:rsidRPr="003D5161" w:rsidRDefault="00730562" w:rsidP="00730562">
      <w:pPr>
        <w:spacing w:after="0"/>
        <w:jc w:val="both"/>
        <w:rPr>
          <w:rFonts w:ascii="Kristen ITC" w:hAnsi="Kristen ITC"/>
          <w:sz w:val="24"/>
          <w:szCs w:val="24"/>
        </w:rPr>
      </w:pPr>
      <w:r w:rsidRPr="003D5161">
        <w:rPr>
          <w:rFonts w:ascii="Kristen ITC" w:hAnsi="Kristen ITC"/>
          <w:sz w:val="24"/>
          <w:szCs w:val="24"/>
        </w:rPr>
        <w:sym w:font="Wingdings" w:char="F0A8"/>
      </w:r>
      <w:r w:rsidRPr="003D5161">
        <w:rPr>
          <w:rFonts w:ascii="Kristen ITC" w:hAnsi="Kristen ITC"/>
          <w:sz w:val="24"/>
          <w:szCs w:val="24"/>
        </w:rPr>
        <w:t xml:space="preserve"> </w:t>
      </w:r>
      <w:proofErr w:type="gramStart"/>
      <w:r w:rsidRPr="003D5161">
        <w:rPr>
          <w:rFonts w:ascii="Kristen ITC" w:hAnsi="Kristen ITC"/>
          <w:sz w:val="24"/>
          <w:szCs w:val="24"/>
        </w:rPr>
        <w:t>i</w:t>
      </w:r>
      <w:proofErr w:type="gramEnd"/>
      <w:r w:rsidRPr="003D5161">
        <w:rPr>
          <w:rFonts w:ascii="Kristen ITC" w:hAnsi="Kristen ITC"/>
          <w:sz w:val="24"/>
          <w:szCs w:val="24"/>
        </w:rPr>
        <w:t xml:space="preserve"> tributi e le tariffe dei servizi pubblici ;</w:t>
      </w:r>
    </w:p>
    <w:p w:rsidR="00730562" w:rsidRPr="003D5161" w:rsidRDefault="00730562" w:rsidP="00730562">
      <w:pPr>
        <w:spacing w:after="0"/>
        <w:jc w:val="both"/>
        <w:rPr>
          <w:rFonts w:ascii="Kristen ITC" w:hAnsi="Kristen ITC"/>
          <w:sz w:val="24"/>
          <w:szCs w:val="24"/>
        </w:rPr>
      </w:pPr>
    </w:p>
    <w:p w:rsidR="00730562" w:rsidRPr="003D5161" w:rsidRDefault="00730562" w:rsidP="00730562">
      <w:pPr>
        <w:spacing w:after="0"/>
        <w:jc w:val="both"/>
        <w:rPr>
          <w:rFonts w:ascii="Kristen ITC" w:hAnsi="Kristen ITC"/>
          <w:sz w:val="24"/>
          <w:szCs w:val="24"/>
        </w:rPr>
      </w:pPr>
      <w:r w:rsidRPr="003D5161">
        <w:rPr>
          <w:rFonts w:ascii="Kristen ITC" w:hAnsi="Kristen ITC"/>
          <w:sz w:val="24"/>
          <w:szCs w:val="24"/>
        </w:rPr>
        <w:lastRenderedPageBreak/>
        <w:sym w:font="Wingdings" w:char="F0A8"/>
      </w:r>
      <w:r w:rsidRPr="003D5161">
        <w:rPr>
          <w:rFonts w:ascii="Kristen ITC" w:hAnsi="Kristen ITC"/>
          <w:sz w:val="24"/>
          <w:szCs w:val="24"/>
        </w:rPr>
        <w:t xml:space="preserve"> </w:t>
      </w:r>
      <w:proofErr w:type="gramStart"/>
      <w:r w:rsidRPr="003D5161">
        <w:rPr>
          <w:rFonts w:ascii="Kristen ITC" w:hAnsi="Kristen ITC"/>
          <w:sz w:val="24"/>
          <w:szCs w:val="24"/>
        </w:rPr>
        <w:t>la</w:t>
      </w:r>
      <w:proofErr w:type="gramEnd"/>
      <w:r w:rsidRPr="003D5161">
        <w:rPr>
          <w:rFonts w:ascii="Kristen ITC" w:hAnsi="Kristen ITC"/>
          <w:sz w:val="24"/>
          <w:szCs w:val="24"/>
        </w:rPr>
        <w:t xml:space="preserve"> spesa corrente con riferimento alla gestione delle funzioni fondamentali e alla qualità e sostenibilità dei servizi resi e agli obiettivi di servizio; </w:t>
      </w:r>
    </w:p>
    <w:p w:rsidR="00730562" w:rsidRPr="003D5161" w:rsidRDefault="00730562" w:rsidP="00730562">
      <w:pPr>
        <w:spacing w:after="0"/>
        <w:jc w:val="both"/>
        <w:rPr>
          <w:rFonts w:ascii="Kristen ITC" w:hAnsi="Kristen ITC"/>
          <w:sz w:val="24"/>
          <w:szCs w:val="24"/>
        </w:rPr>
      </w:pPr>
    </w:p>
    <w:p w:rsidR="00730562" w:rsidRPr="003D5161" w:rsidRDefault="00730562" w:rsidP="00730562">
      <w:pPr>
        <w:spacing w:after="0"/>
        <w:jc w:val="both"/>
        <w:rPr>
          <w:rFonts w:ascii="Kristen ITC" w:hAnsi="Kristen ITC"/>
          <w:sz w:val="24"/>
          <w:szCs w:val="24"/>
        </w:rPr>
      </w:pPr>
      <w:r w:rsidRPr="003D5161">
        <w:rPr>
          <w:rFonts w:ascii="Kristen ITC" w:hAnsi="Kristen ITC"/>
          <w:sz w:val="24"/>
          <w:szCs w:val="24"/>
        </w:rPr>
        <w:sym w:font="Wingdings" w:char="F0A8"/>
      </w:r>
      <w:r w:rsidRPr="003D5161">
        <w:rPr>
          <w:rFonts w:ascii="Kristen ITC" w:hAnsi="Kristen ITC"/>
          <w:sz w:val="24"/>
          <w:szCs w:val="24"/>
        </w:rPr>
        <w:t xml:space="preserve"> </w:t>
      </w:r>
      <w:proofErr w:type="gramStart"/>
      <w:r w:rsidRPr="003D5161">
        <w:rPr>
          <w:rFonts w:ascii="Kristen ITC" w:hAnsi="Kristen ITC"/>
          <w:sz w:val="24"/>
          <w:szCs w:val="24"/>
        </w:rPr>
        <w:t>l'analisi</w:t>
      </w:r>
      <w:proofErr w:type="gramEnd"/>
      <w:r w:rsidRPr="003D5161">
        <w:rPr>
          <w:rFonts w:ascii="Kristen ITC" w:hAnsi="Kristen ITC"/>
          <w:sz w:val="24"/>
          <w:szCs w:val="24"/>
        </w:rPr>
        <w:t xml:space="preserve"> del fabbisogno di risorse finanziarie, strumentali ed umane, per la realizzazione dei programmi che fanno capo alle singole Missioni in cui si articola l'intera spesa dell'Ente, secondo la nuova classificazione funzionale prevista dal D. </w:t>
      </w:r>
      <w:proofErr w:type="spellStart"/>
      <w:r w:rsidRPr="003D5161">
        <w:rPr>
          <w:rFonts w:ascii="Kristen ITC" w:hAnsi="Kristen ITC"/>
          <w:sz w:val="24"/>
          <w:szCs w:val="24"/>
        </w:rPr>
        <w:t>Lgs</w:t>
      </w:r>
      <w:proofErr w:type="spellEnd"/>
      <w:r w:rsidRPr="003D5161">
        <w:rPr>
          <w:rFonts w:ascii="Kristen ITC" w:hAnsi="Kristen ITC"/>
          <w:sz w:val="24"/>
          <w:szCs w:val="24"/>
        </w:rPr>
        <w:t xml:space="preserve"> 118/2011 così come integrato dal </w:t>
      </w:r>
      <w:proofErr w:type="spellStart"/>
      <w:r w:rsidRPr="003D5161">
        <w:rPr>
          <w:rFonts w:ascii="Kristen ITC" w:hAnsi="Kristen ITC"/>
          <w:sz w:val="24"/>
          <w:szCs w:val="24"/>
        </w:rPr>
        <w:t>D.Lgs</w:t>
      </w:r>
      <w:proofErr w:type="spellEnd"/>
      <w:r w:rsidRPr="003D5161">
        <w:rPr>
          <w:rFonts w:ascii="Kristen ITC" w:hAnsi="Kristen ITC"/>
          <w:sz w:val="24"/>
          <w:szCs w:val="24"/>
        </w:rPr>
        <w:t xml:space="preserve"> 126/2014;</w:t>
      </w:r>
    </w:p>
    <w:p w:rsidR="00730562" w:rsidRPr="003D5161" w:rsidRDefault="00730562" w:rsidP="00730562">
      <w:pPr>
        <w:spacing w:after="0"/>
        <w:jc w:val="both"/>
        <w:rPr>
          <w:rFonts w:ascii="Kristen ITC" w:hAnsi="Kristen ITC"/>
          <w:sz w:val="24"/>
          <w:szCs w:val="24"/>
        </w:rPr>
      </w:pPr>
    </w:p>
    <w:p w:rsidR="00730562" w:rsidRPr="003D5161" w:rsidRDefault="00730562" w:rsidP="00730562">
      <w:pPr>
        <w:spacing w:after="0"/>
        <w:jc w:val="both"/>
        <w:rPr>
          <w:rFonts w:ascii="Kristen ITC" w:hAnsi="Kristen ITC"/>
          <w:sz w:val="24"/>
          <w:szCs w:val="24"/>
        </w:rPr>
      </w:pPr>
      <w:r w:rsidRPr="003D5161">
        <w:rPr>
          <w:rFonts w:ascii="Kristen ITC" w:hAnsi="Kristen ITC"/>
          <w:sz w:val="24"/>
          <w:szCs w:val="24"/>
        </w:rPr>
        <w:sym w:font="Wingdings" w:char="F0A8"/>
      </w:r>
      <w:r w:rsidRPr="003D5161">
        <w:rPr>
          <w:rFonts w:ascii="Kristen ITC" w:hAnsi="Kristen ITC"/>
          <w:sz w:val="24"/>
          <w:szCs w:val="24"/>
        </w:rPr>
        <w:t xml:space="preserve"> </w:t>
      </w:r>
      <w:proofErr w:type="gramStart"/>
      <w:r w:rsidRPr="003D5161">
        <w:rPr>
          <w:rFonts w:ascii="Kristen ITC" w:hAnsi="Kristen ITC"/>
          <w:sz w:val="24"/>
          <w:szCs w:val="24"/>
        </w:rPr>
        <w:t>la</w:t>
      </w:r>
      <w:proofErr w:type="gramEnd"/>
      <w:r w:rsidRPr="003D5161">
        <w:rPr>
          <w:rFonts w:ascii="Kristen ITC" w:hAnsi="Kristen ITC"/>
          <w:sz w:val="24"/>
          <w:szCs w:val="24"/>
        </w:rPr>
        <w:t xml:space="preserve"> gestione del patrimonio;</w:t>
      </w:r>
    </w:p>
    <w:p w:rsidR="00730562" w:rsidRPr="003D5161" w:rsidRDefault="00730562" w:rsidP="00730562">
      <w:pPr>
        <w:spacing w:after="0"/>
        <w:jc w:val="both"/>
        <w:rPr>
          <w:rFonts w:ascii="Kristen ITC" w:hAnsi="Kristen ITC"/>
          <w:sz w:val="24"/>
          <w:szCs w:val="24"/>
        </w:rPr>
      </w:pPr>
    </w:p>
    <w:p w:rsidR="00730562" w:rsidRPr="003D5161" w:rsidRDefault="00730562" w:rsidP="00730562">
      <w:pPr>
        <w:spacing w:after="0"/>
        <w:jc w:val="both"/>
        <w:rPr>
          <w:rFonts w:ascii="Kristen ITC" w:hAnsi="Kristen ITC"/>
          <w:sz w:val="24"/>
          <w:szCs w:val="24"/>
        </w:rPr>
      </w:pPr>
      <w:r w:rsidRPr="003D5161">
        <w:rPr>
          <w:rFonts w:ascii="Kristen ITC" w:hAnsi="Kristen ITC"/>
          <w:sz w:val="24"/>
          <w:szCs w:val="24"/>
        </w:rPr>
        <w:sym w:font="Wingdings" w:char="F0A8"/>
      </w:r>
      <w:r w:rsidRPr="003D5161">
        <w:rPr>
          <w:rFonts w:ascii="Kristen ITC" w:hAnsi="Kristen ITC"/>
          <w:sz w:val="24"/>
          <w:szCs w:val="24"/>
        </w:rPr>
        <w:t xml:space="preserve"> </w:t>
      </w:r>
      <w:proofErr w:type="gramStart"/>
      <w:r w:rsidRPr="003D5161">
        <w:rPr>
          <w:rFonts w:ascii="Kristen ITC" w:hAnsi="Kristen ITC"/>
          <w:sz w:val="24"/>
          <w:szCs w:val="24"/>
        </w:rPr>
        <w:t>il</w:t>
      </w:r>
      <w:proofErr w:type="gramEnd"/>
      <w:r w:rsidRPr="003D5161">
        <w:rPr>
          <w:rFonts w:ascii="Kristen ITC" w:hAnsi="Kristen ITC"/>
          <w:sz w:val="24"/>
          <w:szCs w:val="24"/>
        </w:rPr>
        <w:t xml:space="preserve"> reperimento e l'utilizzo di risorse straordinarie e in conto capitale;</w:t>
      </w:r>
    </w:p>
    <w:p w:rsidR="00730562" w:rsidRPr="003D5161" w:rsidRDefault="00730562" w:rsidP="00730562">
      <w:pPr>
        <w:spacing w:after="0"/>
        <w:jc w:val="both"/>
        <w:rPr>
          <w:rFonts w:ascii="Kristen ITC" w:hAnsi="Kristen ITC"/>
          <w:sz w:val="24"/>
          <w:szCs w:val="24"/>
        </w:rPr>
      </w:pPr>
    </w:p>
    <w:p w:rsidR="00730562" w:rsidRPr="003D5161" w:rsidRDefault="00730562" w:rsidP="00730562">
      <w:pPr>
        <w:spacing w:after="0"/>
        <w:jc w:val="both"/>
        <w:rPr>
          <w:rFonts w:ascii="Kristen ITC" w:hAnsi="Kristen ITC"/>
          <w:sz w:val="24"/>
          <w:szCs w:val="24"/>
        </w:rPr>
      </w:pPr>
      <w:r w:rsidRPr="003D5161">
        <w:rPr>
          <w:rFonts w:ascii="Kristen ITC" w:hAnsi="Kristen ITC"/>
          <w:sz w:val="24"/>
          <w:szCs w:val="24"/>
        </w:rPr>
        <w:sym w:font="Wingdings" w:char="F0A8"/>
      </w:r>
      <w:r w:rsidRPr="003D5161">
        <w:rPr>
          <w:rFonts w:ascii="Kristen ITC" w:hAnsi="Kristen ITC"/>
          <w:sz w:val="24"/>
          <w:szCs w:val="24"/>
        </w:rPr>
        <w:t xml:space="preserve"> </w:t>
      </w:r>
      <w:proofErr w:type="gramStart"/>
      <w:r w:rsidRPr="003D5161">
        <w:rPr>
          <w:rFonts w:ascii="Kristen ITC" w:hAnsi="Kristen ITC"/>
          <w:sz w:val="24"/>
          <w:szCs w:val="24"/>
        </w:rPr>
        <w:t>l'indebitamento</w:t>
      </w:r>
      <w:proofErr w:type="gramEnd"/>
      <w:r w:rsidRPr="003D5161">
        <w:rPr>
          <w:rFonts w:ascii="Kristen ITC" w:hAnsi="Kristen ITC"/>
          <w:sz w:val="24"/>
          <w:szCs w:val="24"/>
        </w:rPr>
        <w:t>, con l'analisi della sua sostenibilità e andamento tendenziale nel periodo del mandato amministrativo;</w:t>
      </w:r>
    </w:p>
    <w:p w:rsidR="00730562" w:rsidRPr="003D5161" w:rsidRDefault="00730562" w:rsidP="00730562">
      <w:pPr>
        <w:spacing w:after="0"/>
        <w:jc w:val="both"/>
        <w:rPr>
          <w:rFonts w:ascii="Kristen ITC" w:hAnsi="Kristen ITC"/>
          <w:sz w:val="24"/>
          <w:szCs w:val="24"/>
        </w:rPr>
      </w:pPr>
    </w:p>
    <w:p w:rsidR="00730562" w:rsidRPr="003D5161" w:rsidRDefault="00730562" w:rsidP="00730562">
      <w:pPr>
        <w:spacing w:after="0"/>
        <w:jc w:val="both"/>
        <w:rPr>
          <w:rFonts w:ascii="Kristen ITC" w:hAnsi="Kristen ITC"/>
          <w:sz w:val="24"/>
          <w:szCs w:val="24"/>
        </w:rPr>
      </w:pPr>
      <w:r w:rsidRPr="003D5161">
        <w:rPr>
          <w:rFonts w:ascii="Kristen ITC" w:hAnsi="Kristen ITC"/>
          <w:sz w:val="24"/>
          <w:szCs w:val="24"/>
        </w:rPr>
        <w:sym w:font="Wingdings" w:char="F0A8"/>
      </w:r>
      <w:r w:rsidRPr="003D5161">
        <w:rPr>
          <w:rFonts w:ascii="Kristen ITC" w:hAnsi="Kristen ITC"/>
          <w:sz w:val="24"/>
          <w:szCs w:val="24"/>
        </w:rPr>
        <w:t xml:space="preserve"> </w:t>
      </w:r>
      <w:proofErr w:type="gramStart"/>
      <w:r w:rsidRPr="003D5161">
        <w:rPr>
          <w:rFonts w:ascii="Kristen ITC" w:hAnsi="Kristen ITC"/>
          <w:sz w:val="24"/>
          <w:szCs w:val="24"/>
        </w:rPr>
        <w:t>gli</w:t>
      </w:r>
      <w:proofErr w:type="gramEnd"/>
      <w:r w:rsidRPr="003D5161">
        <w:rPr>
          <w:rFonts w:ascii="Kristen ITC" w:hAnsi="Kristen ITC"/>
          <w:sz w:val="24"/>
          <w:szCs w:val="24"/>
        </w:rPr>
        <w:t xml:space="preserve"> equilibri generali di bilancio, correnti e in conto capitale sia in termini di competenza, sia in termini di cassa, con espresso riferimento al contenuto della L. 342/2012 che saranno applicati a partire dal 1 gennaio 2016; </w:t>
      </w:r>
    </w:p>
    <w:p w:rsidR="00730562" w:rsidRPr="003D5161" w:rsidRDefault="00730562" w:rsidP="00730562">
      <w:pPr>
        <w:spacing w:after="0"/>
        <w:jc w:val="both"/>
        <w:rPr>
          <w:rFonts w:ascii="Kristen ITC" w:hAnsi="Kristen ITC"/>
          <w:sz w:val="24"/>
          <w:szCs w:val="24"/>
        </w:rPr>
      </w:pPr>
    </w:p>
    <w:p w:rsidR="00730562" w:rsidRPr="003D5161" w:rsidRDefault="00730562" w:rsidP="00730562">
      <w:pPr>
        <w:spacing w:after="0"/>
        <w:jc w:val="both"/>
        <w:rPr>
          <w:rFonts w:ascii="Kristen ITC" w:hAnsi="Kristen ITC"/>
          <w:sz w:val="24"/>
          <w:szCs w:val="24"/>
        </w:rPr>
      </w:pPr>
      <w:r w:rsidRPr="003D5161">
        <w:rPr>
          <w:rFonts w:ascii="Kristen ITC" w:hAnsi="Kristen ITC"/>
          <w:sz w:val="24"/>
          <w:szCs w:val="24"/>
        </w:rPr>
        <w:sym w:font="Wingdings" w:char="F0A8"/>
      </w:r>
      <w:r w:rsidRPr="003D5161">
        <w:rPr>
          <w:rFonts w:ascii="Kristen ITC" w:hAnsi="Kristen ITC"/>
          <w:sz w:val="24"/>
          <w:szCs w:val="24"/>
        </w:rPr>
        <w:t xml:space="preserve"> </w:t>
      </w:r>
      <w:proofErr w:type="gramStart"/>
      <w:r w:rsidRPr="003D5161">
        <w:rPr>
          <w:rFonts w:ascii="Kristen ITC" w:hAnsi="Kristen ITC"/>
          <w:sz w:val="24"/>
          <w:szCs w:val="24"/>
        </w:rPr>
        <w:t>la</w:t>
      </w:r>
      <w:proofErr w:type="gramEnd"/>
      <w:r w:rsidRPr="003D5161">
        <w:rPr>
          <w:rFonts w:ascii="Kristen ITC" w:hAnsi="Kristen ITC"/>
          <w:sz w:val="24"/>
          <w:szCs w:val="24"/>
        </w:rPr>
        <w:t xml:space="preserve"> situazione delle risorse umane con riferimento alla struttura organizzativa dell'Ente nella sua complessiva articolazione ed evoluzione nel tempo, anche in termini di spesa da sostenere;</w:t>
      </w:r>
    </w:p>
    <w:p w:rsidR="00730562" w:rsidRPr="003D5161" w:rsidRDefault="00730562" w:rsidP="00730562">
      <w:pPr>
        <w:spacing w:after="0"/>
        <w:jc w:val="both"/>
        <w:rPr>
          <w:rFonts w:ascii="Kristen ITC" w:hAnsi="Kristen ITC"/>
          <w:sz w:val="24"/>
          <w:szCs w:val="24"/>
        </w:rPr>
      </w:pPr>
    </w:p>
    <w:p w:rsidR="00730562" w:rsidRPr="003D5161" w:rsidRDefault="00730562" w:rsidP="00730562">
      <w:pPr>
        <w:spacing w:after="0"/>
        <w:jc w:val="both"/>
        <w:rPr>
          <w:rFonts w:ascii="Kristen ITC" w:hAnsi="Kristen ITC"/>
          <w:sz w:val="24"/>
          <w:szCs w:val="24"/>
        </w:rPr>
      </w:pPr>
      <w:r w:rsidRPr="003D5161">
        <w:rPr>
          <w:rFonts w:ascii="Kristen ITC" w:hAnsi="Kristen ITC"/>
          <w:sz w:val="24"/>
          <w:szCs w:val="24"/>
        </w:rPr>
        <w:sym w:font="Wingdings" w:char="F0A8"/>
      </w:r>
      <w:r w:rsidRPr="003D5161">
        <w:rPr>
          <w:rFonts w:ascii="Kristen ITC" w:hAnsi="Kristen ITC"/>
          <w:sz w:val="24"/>
          <w:szCs w:val="24"/>
        </w:rPr>
        <w:t xml:space="preserve"> </w:t>
      </w:r>
      <w:proofErr w:type="gramStart"/>
      <w:r w:rsidRPr="003D5161">
        <w:rPr>
          <w:rFonts w:ascii="Kristen ITC" w:hAnsi="Kristen ITC"/>
          <w:sz w:val="24"/>
          <w:szCs w:val="24"/>
        </w:rPr>
        <w:t>la</w:t>
      </w:r>
      <w:proofErr w:type="gramEnd"/>
      <w:r w:rsidRPr="003D5161">
        <w:rPr>
          <w:rFonts w:ascii="Kristen ITC" w:hAnsi="Kristen ITC"/>
          <w:sz w:val="24"/>
          <w:szCs w:val="24"/>
        </w:rPr>
        <w:t xml:space="preserve"> coerenza e compatibilità presente e futura con le disposizioni</w:t>
      </w:r>
      <w:r w:rsidR="00DC1FC8">
        <w:rPr>
          <w:rFonts w:ascii="Kristen ITC" w:hAnsi="Kristen ITC"/>
          <w:sz w:val="24"/>
          <w:szCs w:val="24"/>
        </w:rPr>
        <w:t xml:space="preserve"> </w:t>
      </w:r>
      <w:r w:rsidRPr="003D5161">
        <w:rPr>
          <w:rFonts w:ascii="Kristen ITC" w:hAnsi="Kristen ITC"/>
          <w:sz w:val="24"/>
          <w:szCs w:val="24"/>
        </w:rPr>
        <w:t>con i vincoli di finanza pubblica.</w:t>
      </w:r>
    </w:p>
    <w:p w:rsidR="00730562" w:rsidRPr="003D5161" w:rsidRDefault="00730562" w:rsidP="00730562">
      <w:pPr>
        <w:spacing w:after="0"/>
        <w:jc w:val="both"/>
        <w:rPr>
          <w:rFonts w:ascii="Kristen ITC" w:hAnsi="Kristen ITC"/>
          <w:sz w:val="24"/>
          <w:szCs w:val="24"/>
        </w:rPr>
      </w:pPr>
    </w:p>
    <w:p w:rsidR="00730562" w:rsidRPr="003D5161" w:rsidRDefault="00730562" w:rsidP="00730562">
      <w:pPr>
        <w:spacing w:after="0"/>
        <w:jc w:val="both"/>
        <w:rPr>
          <w:rFonts w:ascii="Kristen ITC" w:hAnsi="Kristen ITC"/>
          <w:sz w:val="24"/>
          <w:szCs w:val="24"/>
        </w:rPr>
      </w:pPr>
      <w:r w:rsidRPr="003D5161">
        <w:rPr>
          <w:rFonts w:ascii="Kristen ITC" w:hAnsi="Kristen ITC"/>
          <w:sz w:val="24"/>
          <w:szCs w:val="24"/>
        </w:rPr>
        <w:t>La sezione Strategica costituisce la base e il presupposto per la redazione della sezione Operativa.</w:t>
      </w:r>
    </w:p>
    <w:p w:rsidR="00730562" w:rsidRPr="003D5161" w:rsidRDefault="00730562" w:rsidP="00730562">
      <w:pPr>
        <w:spacing w:after="0"/>
        <w:jc w:val="both"/>
        <w:rPr>
          <w:rFonts w:ascii="Kristen ITC" w:hAnsi="Kristen ITC"/>
          <w:sz w:val="24"/>
          <w:szCs w:val="24"/>
        </w:rPr>
      </w:pPr>
      <w:r w:rsidRPr="003D5161">
        <w:rPr>
          <w:rFonts w:ascii="Kristen ITC" w:hAnsi="Kristen ITC"/>
          <w:b/>
          <w:bCs/>
          <w:sz w:val="24"/>
          <w:szCs w:val="24"/>
        </w:rPr>
        <w:t xml:space="preserve">La sezione Operativa (DUP </w:t>
      </w:r>
      <w:proofErr w:type="spellStart"/>
      <w:r w:rsidRPr="003D5161">
        <w:rPr>
          <w:rFonts w:ascii="Kristen ITC" w:hAnsi="Kristen ITC"/>
          <w:b/>
          <w:bCs/>
          <w:sz w:val="24"/>
          <w:szCs w:val="24"/>
        </w:rPr>
        <w:t>SeO</w:t>
      </w:r>
      <w:proofErr w:type="spellEnd"/>
      <w:r w:rsidRPr="003D5161">
        <w:rPr>
          <w:rFonts w:ascii="Kristen ITC" w:hAnsi="Kristen ITC"/>
          <w:b/>
          <w:bCs/>
          <w:sz w:val="24"/>
          <w:szCs w:val="24"/>
        </w:rPr>
        <w:t xml:space="preserve">) </w:t>
      </w:r>
      <w:r w:rsidRPr="003D5161">
        <w:rPr>
          <w:rFonts w:ascii="Kristen ITC" w:hAnsi="Kristen ITC"/>
          <w:sz w:val="24"/>
          <w:szCs w:val="24"/>
        </w:rPr>
        <w:t>ha carattere generale, contenuto programmatico e costituisce lo strumento a supporto del processo di previsione definito sulla base degli indirizzi generali e degli obiettivi strategici fissati nella Sezione Strategica del DUP. In particolare, la sezione Operativa contiene la programmazione operativa dell’Ente avendo a riferimento un arco temporale triennale.</w:t>
      </w:r>
    </w:p>
    <w:p w:rsidR="00730562" w:rsidRPr="003D5161" w:rsidRDefault="00730562" w:rsidP="00730562">
      <w:pPr>
        <w:spacing w:after="0"/>
        <w:jc w:val="both"/>
        <w:rPr>
          <w:rFonts w:ascii="Kristen ITC" w:hAnsi="Kristen ITC"/>
          <w:sz w:val="24"/>
          <w:szCs w:val="24"/>
        </w:rPr>
      </w:pPr>
      <w:r w:rsidRPr="003D5161">
        <w:rPr>
          <w:rFonts w:ascii="Kristen ITC" w:hAnsi="Kristen ITC"/>
          <w:sz w:val="24"/>
          <w:szCs w:val="24"/>
        </w:rPr>
        <w:t>Il contenuto della sezione Operativa, costituisce guida e vincolo ai processi di redazione dei documenti contabili di previsione dell’Ente.</w:t>
      </w:r>
    </w:p>
    <w:p w:rsidR="00730562" w:rsidRPr="003D5161" w:rsidRDefault="00730562" w:rsidP="00730562">
      <w:pPr>
        <w:spacing w:after="0"/>
        <w:jc w:val="both"/>
        <w:rPr>
          <w:rFonts w:ascii="Kristen ITC" w:hAnsi="Kristen ITC"/>
          <w:sz w:val="24"/>
          <w:szCs w:val="24"/>
        </w:rPr>
      </w:pPr>
      <w:r w:rsidRPr="003D5161">
        <w:rPr>
          <w:rFonts w:ascii="Kristen ITC" w:hAnsi="Kristen ITC"/>
          <w:sz w:val="24"/>
          <w:szCs w:val="24"/>
        </w:rPr>
        <w:t xml:space="preserve">La sezione Operativa del Documento Unico di Programmazione è redatta, per il suo contenuto finanziario, per competenza con riferimento all'intero triennio e per </w:t>
      </w:r>
      <w:r w:rsidRPr="003D5161">
        <w:rPr>
          <w:rFonts w:ascii="Kristen ITC" w:hAnsi="Kristen ITC"/>
          <w:sz w:val="24"/>
          <w:szCs w:val="24"/>
        </w:rPr>
        <w:lastRenderedPageBreak/>
        <w:t xml:space="preserve">cassa con riferimento solo al primo anno del triennio. Essa si fonda su valutazioni di natura economico – patrimoniale e copre un arco temporale pari a quello del Bilancio di Previsione triennale. </w:t>
      </w:r>
    </w:p>
    <w:p w:rsidR="00730562" w:rsidRPr="003D5161" w:rsidRDefault="00730562" w:rsidP="00730562">
      <w:pPr>
        <w:spacing w:after="0"/>
        <w:jc w:val="both"/>
        <w:rPr>
          <w:rFonts w:ascii="Kristen ITC" w:hAnsi="Kristen ITC"/>
          <w:sz w:val="24"/>
          <w:szCs w:val="24"/>
        </w:rPr>
      </w:pPr>
      <w:r w:rsidRPr="003D5161">
        <w:rPr>
          <w:rFonts w:ascii="Kristen ITC" w:hAnsi="Kristen ITC"/>
          <w:sz w:val="24"/>
          <w:szCs w:val="24"/>
        </w:rPr>
        <w:t>La sezione Operativa supporta il processo di previsione per la predisposizione della manovra di Bilancio e individua, per ogni singola missione, i programmi che l’Ente intende realizzare e per ogni programma, per tutto il periodo di riferimento del DUP, gli obiettivi operativi annuali da raggiungere definendone gli aspetti finanziari, sia in termini di competenza per l'intero triennio, sia di cassa per il primo anno del triennio, della manovra di Bilancio.</w:t>
      </w:r>
    </w:p>
    <w:p w:rsidR="00730562" w:rsidRPr="003D5161" w:rsidRDefault="00730562" w:rsidP="00730562">
      <w:pPr>
        <w:spacing w:after="0"/>
        <w:jc w:val="both"/>
        <w:rPr>
          <w:rFonts w:ascii="Kristen ITC" w:hAnsi="Kristen ITC"/>
          <w:sz w:val="24"/>
          <w:szCs w:val="24"/>
        </w:rPr>
      </w:pPr>
      <w:r w:rsidRPr="003D5161">
        <w:rPr>
          <w:rFonts w:ascii="Kristen ITC" w:hAnsi="Kristen ITC"/>
          <w:sz w:val="24"/>
          <w:szCs w:val="24"/>
        </w:rPr>
        <w:t>La sezione Operativa si struttura in due parti fondamentali:</w:t>
      </w:r>
    </w:p>
    <w:p w:rsidR="00730562" w:rsidRPr="003D5161" w:rsidRDefault="00730562" w:rsidP="00730562">
      <w:pPr>
        <w:spacing w:after="0"/>
        <w:jc w:val="both"/>
        <w:rPr>
          <w:rFonts w:ascii="Kristen ITC" w:hAnsi="Kristen ITC"/>
          <w:sz w:val="24"/>
          <w:szCs w:val="24"/>
        </w:rPr>
      </w:pPr>
    </w:p>
    <w:p w:rsidR="00730562" w:rsidRPr="003D5161" w:rsidRDefault="00730562" w:rsidP="00730562">
      <w:pPr>
        <w:spacing w:after="0"/>
        <w:jc w:val="both"/>
        <w:rPr>
          <w:rFonts w:ascii="Kristen ITC" w:hAnsi="Kristen ITC"/>
          <w:sz w:val="24"/>
          <w:szCs w:val="24"/>
        </w:rPr>
      </w:pPr>
      <w:r w:rsidRPr="003D5161">
        <w:rPr>
          <w:rFonts w:ascii="Kristen ITC" w:hAnsi="Kristen ITC"/>
          <w:b/>
          <w:sz w:val="24"/>
          <w:szCs w:val="24"/>
          <w:u w:val="single"/>
        </w:rPr>
        <w:t>Parte 1</w:t>
      </w:r>
      <w:r w:rsidRPr="003D5161">
        <w:rPr>
          <w:rFonts w:ascii="Kristen ITC" w:hAnsi="Kristen ITC"/>
          <w:sz w:val="24"/>
          <w:szCs w:val="24"/>
        </w:rPr>
        <w:t>, nella quale sono descritte le motivazioni delle scelte programmatiche effettuate, sia con riferimento all’Ente che al gruppo amministrazione pubblica, e definiti, per tutto il periodo di riferimento del DUP, i singoli programmi da realizzare ed i relativi obiettivi;</w:t>
      </w:r>
    </w:p>
    <w:p w:rsidR="00730562" w:rsidRPr="003D5161" w:rsidRDefault="00730562" w:rsidP="00730562">
      <w:pPr>
        <w:spacing w:after="0"/>
        <w:jc w:val="both"/>
        <w:rPr>
          <w:rFonts w:ascii="Kristen ITC" w:hAnsi="Kristen ITC"/>
          <w:sz w:val="24"/>
          <w:szCs w:val="24"/>
        </w:rPr>
      </w:pPr>
    </w:p>
    <w:p w:rsidR="00730562" w:rsidRPr="003D5161" w:rsidRDefault="00730562" w:rsidP="00730562">
      <w:pPr>
        <w:spacing w:after="0"/>
        <w:jc w:val="both"/>
        <w:rPr>
          <w:rFonts w:ascii="Kristen ITC" w:hAnsi="Kristen ITC"/>
          <w:sz w:val="24"/>
          <w:szCs w:val="24"/>
        </w:rPr>
      </w:pPr>
      <w:r w:rsidRPr="003D5161">
        <w:rPr>
          <w:rFonts w:ascii="Kristen ITC" w:hAnsi="Kristen ITC"/>
          <w:b/>
          <w:sz w:val="24"/>
          <w:szCs w:val="24"/>
          <w:u w:val="single"/>
        </w:rPr>
        <w:t>Parte 2</w:t>
      </w:r>
      <w:r w:rsidRPr="003D5161">
        <w:rPr>
          <w:rFonts w:ascii="Kristen ITC" w:hAnsi="Kristen ITC"/>
          <w:sz w:val="24"/>
          <w:szCs w:val="24"/>
        </w:rPr>
        <w:t>, contenente la programmazione dettagliata, relativamente all’arco temporale di riferimento del DUP, delle opere pubbliche, del fabbisogno di personale e delle alienazioni e valorizzazioni del patrimonio.</w:t>
      </w:r>
    </w:p>
    <w:p w:rsidR="00730562" w:rsidRPr="003D5161" w:rsidRDefault="00730562" w:rsidP="00730562">
      <w:pPr>
        <w:spacing w:after="0"/>
        <w:jc w:val="both"/>
        <w:rPr>
          <w:rFonts w:ascii="Kristen ITC" w:hAnsi="Kristen ITC"/>
          <w:sz w:val="24"/>
          <w:szCs w:val="24"/>
        </w:rPr>
      </w:pPr>
    </w:p>
    <w:p w:rsidR="00730562" w:rsidRPr="003D5161" w:rsidRDefault="00730562" w:rsidP="00730562">
      <w:pPr>
        <w:spacing w:after="0"/>
        <w:jc w:val="both"/>
        <w:rPr>
          <w:rFonts w:ascii="Kristen ITC" w:hAnsi="Kristen ITC"/>
          <w:b/>
          <w:sz w:val="24"/>
          <w:szCs w:val="24"/>
        </w:rPr>
      </w:pPr>
      <w:r w:rsidRPr="003D5161">
        <w:rPr>
          <w:rFonts w:ascii="Kristen ITC" w:hAnsi="Kristen ITC"/>
          <w:b/>
          <w:sz w:val="24"/>
          <w:szCs w:val="24"/>
        </w:rPr>
        <w:t xml:space="preserve">Nella parte 1 sono in particolare esposte: </w:t>
      </w:r>
    </w:p>
    <w:p w:rsidR="00730562" w:rsidRPr="003D5161" w:rsidRDefault="00730562" w:rsidP="00730562">
      <w:pPr>
        <w:spacing w:after="0"/>
        <w:jc w:val="both"/>
        <w:rPr>
          <w:rFonts w:ascii="Kristen ITC" w:hAnsi="Kristen ITC"/>
          <w:sz w:val="24"/>
          <w:szCs w:val="24"/>
        </w:rPr>
      </w:pPr>
    </w:p>
    <w:p w:rsidR="00730562" w:rsidRPr="003D5161" w:rsidRDefault="00730562" w:rsidP="00730562">
      <w:pPr>
        <w:pStyle w:val="Paragrafoelenco"/>
        <w:numPr>
          <w:ilvl w:val="0"/>
          <w:numId w:val="1"/>
        </w:numPr>
        <w:spacing w:after="0"/>
        <w:jc w:val="both"/>
        <w:rPr>
          <w:rFonts w:ascii="Kristen ITC" w:hAnsi="Kristen ITC"/>
        </w:rPr>
      </w:pPr>
      <w:r w:rsidRPr="003D5161">
        <w:rPr>
          <w:rFonts w:ascii="Kristen ITC" w:hAnsi="Kristen ITC"/>
        </w:rPr>
        <w:t>Per la parte entrata, una valutazione generale sui mezzi finanziari, individuando le fonti di finanziamento ed evidenziando l’andamento storico degli stessi ed i relativi vincoli;</w:t>
      </w:r>
    </w:p>
    <w:p w:rsidR="00730562" w:rsidRPr="003D5161" w:rsidRDefault="00730562" w:rsidP="00730562">
      <w:pPr>
        <w:spacing w:after="0"/>
        <w:jc w:val="both"/>
        <w:rPr>
          <w:rFonts w:ascii="Kristen ITC" w:hAnsi="Kristen ITC"/>
          <w:sz w:val="24"/>
          <w:szCs w:val="24"/>
        </w:rPr>
      </w:pPr>
    </w:p>
    <w:p w:rsidR="00730562" w:rsidRPr="003D5161" w:rsidRDefault="00730562" w:rsidP="00730562">
      <w:pPr>
        <w:pStyle w:val="Paragrafoelenco"/>
        <w:numPr>
          <w:ilvl w:val="0"/>
          <w:numId w:val="1"/>
        </w:numPr>
        <w:spacing w:after="0"/>
        <w:jc w:val="both"/>
        <w:rPr>
          <w:rFonts w:ascii="Kristen ITC" w:hAnsi="Kristen ITC"/>
        </w:rPr>
      </w:pPr>
      <w:r w:rsidRPr="003D5161">
        <w:rPr>
          <w:rFonts w:ascii="Kristen ITC" w:hAnsi="Kristen ITC"/>
        </w:rPr>
        <w:t>Per la parte spesa un'illustrazione dei programmi all’interno delle missioni, con indicazione delle finalità che si intendono conseguire, della motivazione delle scelte di indirizzo effettuate e delle risorse umane e strumentali a ciascun programma destinate;</w:t>
      </w:r>
    </w:p>
    <w:p w:rsidR="00730562" w:rsidRPr="003D5161" w:rsidRDefault="00730562" w:rsidP="00730562">
      <w:pPr>
        <w:spacing w:after="0"/>
        <w:jc w:val="both"/>
        <w:rPr>
          <w:rFonts w:ascii="Kristen ITC" w:hAnsi="Kristen ITC"/>
          <w:sz w:val="24"/>
          <w:szCs w:val="24"/>
        </w:rPr>
      </w:pPr>
    </w:p>
    <w:p w:rsidR="004A2660" w:rsidRPr="003D5161" w:rsidRDefault="00730562" w:rsidP="00FB7F73">
      <w:pPr>
        <w:pStyle w:val="Paragrafoelenco"/>
        <w:numPr>
          <w:ilvl w:val="0"/>
          <w:numId w:val="1"/>
        </w:numPr>
        <w:spacing w:after="0"/>
        <w:jc w:val="both"/>
        <w:rPr>
          <w:rFonts w:ascii="Kristen ITC" w:hAnsi="Kristen ITC"/>
        </w:rPr>
      </w:pPr>
      <w:r w:rsidRPr="003D5161">
        <w:rPr>
          <w:rFonts w:ascii="Kristen ITC" w:hAnsi="Kristen ITC"/>
        </w:rPr>
        <w:t>L'analisi e la valutazione degli impegni pluriennali di spesa già assunti.</w:t>
      </w:r>
    </w:p>
    <w:p w:rsidR="00FB7F73" w:rsidRPr="003D5161" w:rsidRDefault="00FB7F73" w:rsidP="00FB7F73">
      <w:pPr>
        <w:pStyle w:val="Paragrafoelenco"/>
        <w:rPr>
          <w:rFonts w:ascii="Kristen ITC" w:hAnsi="Kristen ITC"/>
        </w:rPr>
      </w:pPr>
    </w:p>
    <w:p w:rsidR="00EA2154" w:rsidRDefault="00EA2154" w:rsidP="00FB7F73">
      <w:pPr>
        <w:spacing w:after="0"/>
        <w:jc w:val="center"/>
        <w:rPr>
          <w:rFonts w:ascii="Kristen ITC" w:hAnsi="Kristen ITC"/>
          <w:color w:val="002060"/>
          <w:sz w:val="24"/>
          <w:szCs w:val="24"/>
          <w:u w:val="single"/>
        </w:rPr>
      </w:pPr>
    </w:p>
    <w:p w:rsidR="00EA2154" w:rsidRDefault="00EA2154" w:rsidP="00FB7F73">
      <w:pPr>
        <w:spacing w:after="0"/>
        <w:jc w:val="center"/>
        <w:rPr>
          <w:rFonts w:ascii="Kristen ITC" w:hAnsi="Kristen ITC"/>
          <w:color w:val="002060"/>
          <w:sz w:val="24"/>
          <w:szCs w:val="24"/>
          <w:u w:val="single"/>
        </w:rPr>
      </w:pPr>
    </w:p>
    <w:p w:rsidR="00EA2154" w:rsidRDefault="00EA2154" w:rsidP="00FB7F73">
      <w:pPr>
        <w:spacing w:after="0"/>
        <w:jc w:val="center"/>
        <w:rPr>
          <w:rFonts w:ascii="Kristen ITC" w:hAnsi="Kristen ITC"/>
          <w:color w:val="002060"/>
          <w:sz w:val="24"/>
          <w:szCs w:val="24"/>
          <w:u w:val="single"/>
        </w:rPr>
      </w:pPr>
    </w:p>
    <w:p w:rsidR="00EA2154" w:rsidRDefault="00EA2154" w:rsidP="00FB7F73">
      <w:pPr>
        <w:spacing w:after="0"/>
        <w:jc w:val="center"/>
        <w:rPr>
          <w:rFonts w:ascii="Kristen ITC" w:hAnsi="Kristen ITC"/>
          <w:color w:val="002060"/>
          <w:sz w:val="24"/>
          <w:szCs w:val="24"/>
          <w:u w:val="single"/>
        </w:rPr>
      </w:pPr>
    </w:p>
    <w:p w:rsidR="00FB7F73" w:rsidRPr="00CF3E75" w:rsidRDefault="00FB7F73" w:rsidP="00FB7F73">
      <w:pPr>
        <w:spacing w:after="0"/>
        <w:jc w:val="center"/>
        <w:rPr>
          <w:rFonts w:ascii="Kristen ITC" w:hAnsi="Kristen ITC"/>
          <w:color w:val="002060"/>
          <w:sz w:val="24"/>
          <w:szCs w:val="24"/>
          <w:u w:val="single"/>
        </w:rPr>
      </w:pPr>
      <w:r w:rsidRPr="00CF3E75">
        <w:rPr>
          <w:rFonts w:ascii="Kristen ITC" w:hAnsi="Kristen ITC"/>
          <w:color w:val="002060"/>
          <w:sz w:val="24"/>
          <w:szCs w:val="24"/>
          <w:u w:val="single"/>
        </w:rPr>
        <w:lastRenderedPageBreak/>
        <w:t>OBIETTIVI SPECIFICI Trasparenza ed Integrità</w:t>
      </w:r>
    </w:p>
    <w:p w:rsidR="00FB7F73" w:rsidRPr="003D5161" w:rsidRDefault="00FB7F73" w:rsidP="00730562">
      <w:pPr>
        <w:jc w:val="both"/>
        <w:rPr>
          <w:rFonts w:ascii="Kristen ITC" w:hAnsi="Kristen ITC"/>
          <w:sz w:val="24"/>
          <w:szCs w:val="24"/>
        </w:rPr>
      </w:pPr>
    </w:p>
    <w:p w:rsidR="00730562" w:rsidRPr="003D5161" w:rsidRDefault="00730562" w:rsidP="00730562">
      <w:pPr>
        <w:jc w:val="both"/>
        <w:rPr>
          <w:rFonts w:ascii="Kristen ITC" w:hAnsi="Kristen ITC"/>
          <w:sz w:val="24"/>
          <w:szCs w:val="24"/>
        </w:rPr>
      </w:pPr>
      <w:r w:rsidRPr="003D5161">
        <w:rPr>
          <w:rFonts w:ascii="Kristen ITC" w:hAnsi="Kristen ITC"/>
          <w:sz w:val="24"/>
          <w:szCs w:val="24"/>
        </w:rPr>
        <w:t xml:space="preserve">Il </w:t>
      </w:r>
      <w:proofErr w:type="spellStart"/>
      <w:r w:rsidRPr="003D5161">
        <w:rPr>
          <w:rFonts w:ascii="Kristen ITC" w:hAnsi="Kristen ITC"/>
          <w:sz w:val="24"/>
          <w:szCs w:val="24"/>
        </w:rPr>
        <w:t>D.Lgv</w:t>
      </w:r>
      <w:proofErr w:type="spellEnd"/>
      <w:r w:rsidRPr="003D5161">
        <w:rPr>
          <w:rFonts w:ascii="Kristen ITC" w:hAnsi="Kristen ITC"/>
          <w:sz w:val="24"/>
          <w:szCs w:val="24"/>
        </w:rPr>
        <w:t xml:space="preserve"> 25 maggio 2016 n. 97 ha apportato sensibili cambiamenti alla normativa sulla </w:t>
      </w:r>
      <w:proofErr w:type="gramStart"/>
      <w:r w:rsidRPr="003D5161">
        <w:rPr>
          <w:rFonts w:ascii="Kristen ITC" w:hAnsi="Kristen ITC"/>
          <w:sz w:val="24"/>
          <w:szCs w:val="24"/>
        </w:rPr>
        <w:t>t</w:t>
      </w:r>
      <w:r w:rsidR="009C3CC7" w:rsidRPr="003D5161">
        <w:rPr>
          <w:rFonts w:ascii="Kristen ITC" w:hAnsi="Kristen ITC"/>
          <w:sz w:val="24"/>
          <w:szCs w:val="24"/>
        </w:rPr>
        <w:t xml:space="preserve">rasparenza,  </w:t>
      </w:r>
      <w:r w:rsidRPr="003D5161">
        <w:rPr>
          <w:rFonts w:ascii="Kristen ITC" w:hAnsi="Kristen ITC"/>
          <w:sz w:val="24"/>
          <w:szCs w:val="24"/>
        </w:rPr>
        <w:t xml:space="preserve"> </w:t>
      </w:r>
      <w:proofErr w:type="gramEnd"/>
      <w:r w:rsidRPr="003D5161">
        <w:rPr>
          <w:rFonts w:ascii="Kristen ITC" w:hAnsi="Kristen ITC"/>
          <w:sz w:val="24"/>
          <w:szCs w:val="24"/>
        </w:rPr>
        <w:t>rafforzandone il valore di principio che caratterizza l’organizzazione e l’attività del Comune e delle sue Società partecipate  e i rapporti con i cittadini. Tra le modifiche di carattere generale e   di maggior rilievo, si evidenzia l’introduzione del nuovo istituto dell’accesso civico genera</w:t>
      </w:r>
      <w:r w:rsidR="009C3CC7" w:rsidRPr="003D5161">
        <w:rPr>
          <w:rFonts w:ascii="Kristen ITC" w:hAnsi="Kristen ITC"/>
          <w:sz w:val="24"/>
          <w:szCs w:val="24"/>
        </w:rPr>
        <w:t>lizzato agli atti e ai documenti</w:t>
      </w:r>
      <w:r w:rsidRPr="003D5161">
        <w:rPr>
          <w:rFonts w:ascii="Kristen ITC" w:hAnsi="Kristen ITC"/>
          <w:sz w:val="24"/>
          <w:szCs w:val="24"/>
        </w:rPr>
        <w:t xml:space="preserve"> detenuti dalle pubbliche amministrazioni, l’unificazione del programma triennale di prevenzione della corruzione e quello della trasparenza, l’introduzione dei nuovi ed aggio</w:t>
      </w:r>
      <w:r w:rsidR="009C3CC7" w:rsidRPr="003D5161">
        <w:rPr>
          <w:rFonts w:ascii="Kristen ITC" w:hAnsi="Kristen ITC"/>
          <w:sz w:val="24"/>
          <w:szCs w:val="24"/>
        </w:rPr>
        <w:t xml:space="preserve">rnati obblighi di pubblicazione.  La nuova disciplina entra in vigore in data 23 dicembre 2016 e l’adeguamento del sito </w:t>
      </w:r>
      <w:proofErr w:type="gramStart"/>
      <w:r w:rsidR="009C3CC7" w:rsidRPr="003D5161">
        <w:rPr>
          <w:rFonts w:ascii="Kristen ITC" w:hAnsi="Kristen ITC"/>
          <w:sz w:val="24"/>
          <w:szCs w:val="24"/>
        </w:rPr>
        <w:t>web  entro</w:t>
      </w:r>
      <w:proofErr w:type="gramEnd"/>
      <w:r w:rsidR="009C3CC7" w:rsidRPr="003D5161">
        <w:rPr>
          <w:rFonts w:ascii="Kristen ITC" w:hAnsi="Kristen ITC"/>
          <w:sz w:val="24"/>
          <w:szCs w:val="24"/>
        </w:rPr>
        <w:t xml:space="preserve"> la data del 23 giugno 2017.  Il Comune dispone di un proprio Regolamento in materia, adottato in attuazione del DPR n. 352/1992, che disciplina l’accesso documentale ex L. 241/1990, approvato con Deliberazione</w:t>
      </w:r>
      <w:r w:rsidR="00304E73">
        <w:rPr>
          <w:rFonts w:ascii="Kristen ITC" w:hAnsi="Kristen ITC"/>
          <w:sz w:val="24"/>
          <w:szCs w:val="24"/>
        </w:rPr>
        <w:t xml:space="preserve"> del Consiglio Comunale n. 121</w:t>
      </w:r>
      <w:r w:rsidR="009C3CC7" w:rsidRPr="003D5161">
        <w:rPr>
          <w:rFonts w:ascii="Kristen ITC" w:hAnsi="Kristen ITC"/>
          <w:sz w:val="24"/>
          <w:szCs w:val="24"/>
        </w:rPr>
        <w:t xml:space="preserve"> in data </w:t>
      </w:r>
      <w:proofErr w:type="gramStart"/>
      <w:r w:rsidR="00304E73">
        <w:rPr>
          <w:rFonts w:ascii="Kristen ITC" w:hAnsi="Kristen ITC"/>
          <w:sz w:val="24"/>
          <w:szCs w:val="24"/>
        </w:rPr>
        <w:t>25.11.1997</w:t>
      </w:r>
      <w:r w:rsidR="009C3CC7" w:rsidRPr="003D5161">
        <w:rPr>
          <w:rFonts w:ascii="Kristen ITC" w:hAnsi="Kristen ITC"/>
          <w:sz w:val="24"/>
          <w:szCs w:val="24"/>
        </w:rPr>
        <w:t xml:space="preserve"> .</w:t>
      </w:r>
      <w:proofErr w:type="gramEnd"/>
      <w:r w:rsidR="009C3CC7" w:rsidRPr="003D5161">
        <w:rPr>
          <w:rFonts w:ascii="Kristen ITC" w:hAnsi="Kristen ITC"/>
          <w:sz w:val="24"/>
          <w:szCs w:val="24"/>
        </w:rPr>
        <w:t xml:space="preserve"> </w:t>
      </w:r>
      <w:r w:rsidRPr="003D5161">
        <w:rPr>
          <w:rFonts w:ascii="Kristen ITC" w:hAnsi="Kristen ITC"/>
          <w:sz w:val="24"/>
          <w:szCs w:val="24"/>
        </w:rPr>
        <w:t xml:space="preserve"> </w:t>
      </w:r>
      <w:r w:rsidR="009C3CC7" w:rsidRPr="003D5161">
        <w:rPr>
          <w:rFonts w:ascii="Kristen ITC" w:hAnsi="Kristen ITC"/>
          <w:sz w:val="24"/>
          <w:szCs w:val="24"/>
        </w:rPr>
        <w:t xml:space="preserve">Entro la data del 23 giugno 2017 dovrà essere approvato il nuovo Regolamento in materia di accesso civico e accesso generalizzato. </w:t>
      </w:r>
    </w:p>
    <w:p w:rsidR="000D0CD3" w:rsidRDefault="009C3CC7" w:rsidP="00730562">
      <w:pPr>
        <w:jc w:val="both"/>
        <w:rPr>
          <w:rFonts w:ascii="Kristen ITC" w:hAnsi="Kristen ITC"/>
          <w:sz w:val="24"/>
          <w:szCs w:val="24"/>
        </w:rPr>
      </w:pPr>
      <w:r w:rsidRPr="003D5161">
        <w:rPr>
          <w:rFonts w:ascii="Kristen ITC" w:hAnsi="Kristen ITC"/>
          <w:sz w:val="24"/>
          <w:szCs w:val="24"/>
        </w:rPr>
        <w:t xml:space="preserve">Per quanto concerne </w:t>
      </w:r>
      <w:r w:rsidR="00FB7F73" w:rsidRPr="003D5161">
        <w:rPr>
          <w:rFonts w:ascii="Kristen ITC" w:hAnsi="Kristen ITC"/>
          <w:sz w:val="24"/>
          <w:szCs w:val="24"/>
        </w:rPr>
        <w:t xml:space="preserve">l’aggiornamento degli obblighi di </w:t>
      </w:r>
      <w:proofErr w:type="gramStart"/>
      <w:r w:rsidR="00FB7F73" w:rsidRPr="003D5161">
        <w:rPr>
          <w:rFonts w:ascii="Kristen ITC" w:hAnsi="Kristen ITC"/>
          <w:sz w:val="24"/>
          <w:szCs w:val="24"/>
        </w:rPr>
        <w:t>pubblicazione,  disciplinati</w:t>
      </w:r>
      <w:proofErr w:type="gramEnd"/>
      <w:r w:rsidR="00FB7F73" w:rsidRPr="003D5161">
        <w:rPr>
          <w:rFonts w:ascii="Kristen ITC" w:hAnsi="Kristen ITC"/>
          <w:sz w:val="24"/>
          <w:szCs w:val="24"/>
        </w:rPr>
        <w:t xml:space="preserve"> nel </w:t>
      </w:r>
      <w:proofErr w:type="spellStart"/>
      <w:r w:rsidR="00FB7F73" w:rsidRPr="003D5161">
        <w:rPr>
          <w:rFonts w:ascii="Kristen ITC" w:hAnsi="Kristen ITC"/>
          <w:sz w:val="24"/>
          <w:szCs w:val="24"/>
        </w:rPr>
        <w:t>D.Lgv</w:t>
      </w:r>
      <w:proofErr w:type="spellEnd"/>
      <w:r w:rsidR="00FB7F73" w:rsidRPr="003D5161">
        <w:rPr>
          <w:rFonts w:ascii="Kristen ITC" w:hAnsi="Kristen ITC"/>
          <w:sz w:val="24"/>
          <w:szCs w:val="24"/>
        </w:rPr>
        <w:t xml:space="preserve"> 33/2013, con le modifiche apportate dal </w:t>
      </w:r>
      <w:proofErr w:type="spellStart"/>
      <w:r w:rsidR="00FB7F73" w:rsidRPr="003D5161">
        <w:rPr>
          <w:rFonts w:ascii="Kristen ITC" w:hAnsi="Kristen ITC"/>
          <w:sz w:val="24"/>
          <w:szCs w:val="24"/>
        </w:rPr>
        <w:t>D.Lgv</w:t>
      </w:r>
      <w:proofErr w:type="spellEnd"/>
      <w:r w:rsidR="00FB7F73" w:rsidRPr="003D5161">
        <w:rPr>
          <w:rFonts w:ascii="Kristen ITC" w:hAnsi="Kristen ITC"/>
          <w:sz w:val="24"/>
          <w:szCs w:val="24"/>
        </w:rPr>
        <w:t xml:space="preserve"> 97/2016, si fa rinvio all’Elenco che costituisce Allegato 1 Sezione “Amministrazione trasparente” alle Linee Guida emanate dall’ANAC con deliberazione n. 1310 in data 28 dicembre 2016, che forma parte integrante e sostanziale.  </w:t>
      </w:r>
    </w:p>
    <w:p w:rsidR="009C3CC7" w:rsidRPr="003D5161" w:rsidRDefault="00FB7F73" w:rsidP="00730562">
      <w:pPr>
        <w:jc w:val="both"/>
        <w:rPr>
          <w:rFonts w:ascii="Kristen ITC" w:hAnsi="Kristen ITC"/>
          <w:sz w:val="24"/>
          <w:szCs w:val="24"/>
        </w:rPr>
      </w:pPr>
      <w:r w:rsidRPr="003D5161">
        <w:rPr>
          <w:rFonts w:ascii="Kristen ITC" w:hAnsi="Kristen ITC"/>
          <w:sz w:val="24"/>
          <w:szCs w:val="24"/>
        </w:rPr>
        <w:t xml:space="preserve"> </w:t>
      </w:r>
      <w:r w:rsidR="009C3CC7" w:rsidRPr="003D5161">
        <w:rPr>
          <w:rFonts w:ascii="Kristen ITC" w:hAnsi="Kristen ITC"/>
          <w:sz w:val="24"/>
          <w:szCs w:val="24"/>
        </w:rPr>
        <w:t xml:space="preserve"> </w:t>
      </w:r>
    </w:p>
    <w:p w:rsidR="00DD0E49" w:rsidRDefault="00DD0E49" w:rsidP="000D0CD3">
      <w:pPr>
        <w:jc w:val="center"/>
        <w:rPr>
          <w:rFonts w:ascii="Kristen ITC" w:hAnsi="Kristen ITC"/>
          <w:sz w:val="24"/>
          <w:szCs w:val="24"/>
          <w:u w:val="single"/>
        </w:rPr>
      </w:pPr>
    </w:p>
    <w:p w:rsidR="00FB7F73" w:rsidRPr="00CF3E75" w:rsidRDefault="000D0CD3" w:rsidP="000D0CD3">
      <w:pPr>
        <w:jc w:val="center"/>
        <w:rPr>
          <w:rFonts w:ascii="Kristen ITC" w:hAnsi="Kristen ITC"/>
          <w:color w:val="002060"/>
          <w:sz w:val="24"/>
          <w:szCs w:val="24"/>
          <w:u w:val="single"/>
        </w:rPr>
      </w:pPr>
      <w:r w:rsidRPr="00CF3E75">
        <w:rPr>
          <w:rFonts w:ascii="Kristen ITC" w:hAnsi="Kristen ITC"/>
          <w:color w:val="002060"/>
          <w:sz w:val="24"/>
          <w:szCs w:val="24"/>
          <w:u w:val="single"/>
        </w:rPr>
        <w:t>OBIETTIVI TRASPARENZA</w:t>
      </w:r>
    </w:p>
    <w:p w:rsidR="000D0CD3" w:rsidRPr="003D5161" w:rsidRDefault="000D0CD3" w:rsidP="000D0CD3">
      <w:pPr>
        <w:jc w:val="center"/>
        <w:rPr>
          <w:rFonts w:ascii="Kristen ITC" w:hAnsi="Kristen ITC"/>
          <w:sz w:val="24"/>
          <w:szCs w:val="24"/>
        </w:rPr>
      </w:pPr>
    </w:p>
    <w:p w:rsidR="00FB7F73" w:rsidRPr="003D5161" w:rsidRDefault="00FB7F73" w:rsidP="00FB7F73">
      <w:pPr>
        <w:pStyle w:val="Paragrafoelenco"/>
        <w:numPr>
          <w:ilvl w:val="0"/>
          <w:numId w:val="2"/>
        </w:numPr>
        <w:jc w:val="both"/>
        <w:rPr>
          <w:rFonts w:ascii="Kristen ITC" w:hAnsi="Kristen ITC"/>
        </w:rPr>
      </w:pPr>
      <w:r w:rsidRPr="003D5161">
        <w:rPr>
          <w:rFonts w:ascii="Kristen ITC" w:hAnsi="Kristen ITC"/>
        </w:rPr>
        <w:t>Piena integrazione del programma triennale della trasparenza e dell’integrità con il Piano triennale anticorruzione    -    annuale</w:t>
      </w:r>
    </w:p>
    <w:p w:rsidR="00FB7F73" w:rsidRPr="003D5161" w:rsidRDefault="00C44B52" w:rsidP="00FB7F73">
      <w:pPr>
        <w:pStyle w:val="Paragrafoelenco"/>
        <w:numPr>
          <w:ilvl w:val="0"/>
          <w:numId w:val="2"/>
        </w:numPr>
        <w:jc w:val="both"/>
        <w:rPr>
          <w:rFonts w:ascii="Kristen ITC" w:hAnsi="Kristen ITC"/>
        </w:rPr>
      </w:pPr>
      <w:r w:rsidRPr="003D5161">
        <w:rPr>
          <w:rFonts w:ascii="Kristen ITC" w:hAnsi="Kristen ITC"/>
        </w:rPr>
        <w:t>Attuazione deliberazione n. 831/2016 approvazione PNA 2016 – annuale</w:t>
      </w:r>
    </w:p>
    <w:p w:rsidR="00C44B52" w:rsidRPr="003D5161" w:rsidRDefault="00C44B52" w:rsidP="00FB7F73">
      <w:pPr>
        <w:pStyle w:val="Paragrafoelenco"/>
        <w:numPr>
          <w:ilvl w:val="0"/>
          <w:numId w:val="2"/>
        </w:numPr>
        <w:jc w:val="both"/>
        <w:rPr>
          <w:rFonts w:ascii="Kristen ITC" w:hAnsi="Kristen ITC"/>
        </w:rPr>
      </w:pPr>
      <w:r w:rsidRPr="003D5161">
        <w:rPr>
          <w:rFonts w:ascii="Kristen ITC" w:hAnsi="Kristen ITC"/>
        </w:rPr>
        <w:t xml:space="preserve">Approvazione Regolamento Comunale in materia di accesso civico e generalizzato – trimestre 2017 </w:t>
      </w:r>
    </w:p>
    <w:p w:rsidR="00C44B52" w:rsidRPr="003D5161" w:rsidRDefault="00C44B52" w:rsidP="00FB7F73">
      <w:pPr>
        <w:pStyle w:val="Paragrafoelenco"/>
        <w:numPr>
          <w:ilvl w:val="0"/>
          <w:numId w:val="2"/>
        </w:numPr>
        <w:jc w:val="both"/>
        <w:rPr>
          <w:rFonts w:ascii="Kristen ITC" w:hAnsi="Kristen ITC"/>
        </w:rPr>
      </w:pPr>
      <w:r w:rsidRPr="003D5161">
        <w:rPr>
          <w:rFonts w:ascii="Kristen ITC" w:hAnsi="Kristen ITC"/>
        </w:rPr>
        <w:t>Adeguamento sito web – 23 giugno 2017</w:t>
      </w:r>
    </w:p>
    <w:p w:rsidR="00C44B52" w:rsidRPr="003D5161" w:rsidRDefault="00C44B52" w:rsidP="00FB7F73">
      <w:pPr>
        <w:pStyle w:val="Paragrafoelenco"/>
        <w:numPr>
          <w:ilvl w:val="0"/>
          <w:numId w:val="2"/>
        </w:numPr>
        <w:jc w:val="both"/>
        <w:rPr>
          <w:rFonts w:ascii="Kristen ITC" w:hAnsi="Kristen ITC"/>
        </w:rPr>
      </w:pPr>
      <w:r w:rsidRPr="003D5161">
        <w:rPr>
          <w:rFonts w:ascii="Kristen ITC" w:hAnsi="Kristen ITC"/>
        </w:rPr>
        <w:t>Piena attuazione nuovi obblighi d</w:t>
      </w:r>
      <w:r w:rsidR="000D0CD3">
        <w:rPr>
          <w:rFonts w:ascii="Kristen ITC" w:hAnsi="Kristen ITC"/>
        </w:rPr>
        <w:t xml:space="preserve">i pubblicazione </w:t>
      </w:r>
      <w:proofErr w:type="gramStart"/>
      <w:r w:rsidR="000D0CD3">
        <w:rPr>
          <w:rFonts w:ascii="Kristen ITC" w:hAnsi="Kristen ITC"/>
        </w:rPr>
        <w:t xml:space="preserve">– </w:t>
      </w:r>
      <w:r w:rsidR="004D7E61">
        <w:rPr>
          <w:rFonts w:ascii="Kristen ITC" w:hAnsi="Kristen ITC"/>
        </w:rPr>
        <w:t xml:space="preserve"> Deliberazione</w:t>
      </w:r>
      <w:proofErr w:type="gramEnd"/>
      <w:r w:rsidR="00A339D3">
        <w:rPr>
          <w:rFonts w:ascii="Kristen ITC" w:hAnsi="Kristen ITC"/>
        </w:rPr>
        <w:t xml:space="preserve"> ANAC </w:t>
      </w:r>
      <w:r w:rsidR="004D7E61">
        <w:rPr>
          <w:rFonts w:ascii="Kristen ITC" w:hAnsi="Kristen ITC"/>
        </w:rPr>
        <w:t>n.</w:t>
      </w:r>
      <w:r w:rsidR="00A339D3">
        <w:rPr>
          <w:rFonts w:ascii="Kristen ITC" w:hAnsi="Kristen ITC"/>
        </w:rPr>
        <w:t xml:space="preserve"> 1310 in data 28 dicembre 2016 “Prime Linee guida per l’attuazione degli obblighi di pubblicità, trasparenza e diffusione di informazioni contenute nel </w:t>
      </w:r>
      <w:proofErr w:type="spellStart"/>
      <w:r w:rsidR="00A339D3">
        <w:rPr>
          <w:rFonts w:ascii="Kristen ITC" w:hAnsi="Kristen ITC"/>
        </w:rPr>
        <w:lastRenderedPageBreak/>
        <w:t>D.Lgv</w:t>
      </w:r>
      <w:proofErr w:type="spellEnd"/>
      <w:r w:rsidR="00A339D3">
        <w:rPr>
          <w:rFonts w:ascii="Kristen ITC" w:hAnsi="Kristen ITC"/>
        </w:rPr>
        <w:t xml:space="preserve"> n. 33/2013 come modificato dal </w:t>
      </w:r>
      <w:proofErr w:type="spellStart"/>
      <w:r w:rsidR="00A339D3">
        <w:rPr>
          <w:rFonts w:ascii="Kristen ITC" w:hAnsi="Kristen ITC"/>
        </w:rPr>
        <w:t>D.Lgv</w:t>
      </w:r>
      <w:proofErr w:type="spellEnd"/>
      <w:r w:rsidR="00A339D3">
        <w:rPr>
          <w:rFonts w:ascii="Kristen ITC" w:hAnsi="Kristen ITC"/>
        </w:rPr>
        <w:t xml:space="preserve"> n. 97/2016 - </w:t>
      </w:r>
      <w:r w:rsidR="004D7E61">
        <w:rPr>
          <w:rFonts w:ascii="Kristen ITC" w:hAnsi="Kristen ITC"/>
        </w:rPr>
        <w:t xml:space="preserve"> </w:t>
      </w:r>
      <w:r w:rsidR="000D0CD3">
        <w:rPr>
          <w:rFonts w:ascii="Kristen ITC" w:hAnsi="Kristen ITC"/>
        </w:rPr>
        <w:t>decorrenza 23 dicembre 2016</w:t>
      </w:r>
      <w:r w:rsidR="00A339D3">
        <w:rPr>
          <w:rFonts w:ascii="Kristen ITC" w:hAnsi="Kristen ITC"/>
        </w:rPr>
        <w:t xml:space="preserve"> - </w:t>
      </w:r>
      <w:r w:rsidRPr="003D5161">
        <w:rPr>
          <w:rFonts w:ascii="Kristen ITC" w:hAnsi="Kristen ITC"/>
        </w:rPr>
        <w:t xml:space="preserve"> </w:t>
      </w:r>
      <w:r w:rsidR="00A339D3" w:rsidRPr="00A339D3">
        <w:rPr>
          <w:rFonts w:ascii="Kristen ITC" w:hAnsi="Kristen ITC"/>
          <w:u w:val="single"/>
        </w:rPr>
        <w:t>In Allegato</w:t>
      </w:r>
      <w:r w:rsidR="00A339D3">
        <w:rPr>
          <w:rFonts w:ascii="Kristen ITC" w:hAnsi="Kristen ITC"/>
        </w:rPr>
        <w:t xml:space="preserve"> </w:t>
      </w:r>
    </w:p>
    <w:p w:rsidR="00C44B52" w:rsidRPr="003D5161" w:rsidRDefault="00C44B52" w:rsidP="00FB7F73">
      <w:pPr>
        <w:pStyle w:val="Paragrafoelenco"/>
        <w:numPr>
          <w:ilvl w:val="0"/>
          <w:numId w:val="2"/>
        </w:numPr>
        <w:jc w:val="both"/>
        <w:rPr>
          <w:rFonts w:ascii="Kristen ITC" w:hAnsi="Kristen ITC"/>
        </w:rPr>
      </w:pPr>
      <w:r w:rsidRPr="003D5161">
        <w:rPr>
          <w:rFonts w:ascii="Kristen ITC" w:hAnsi="Kristen ITC"/>
        </w:rPr>
        <w:t>A</w:t>
      </w:r>
      <w:r w:rsidR="006E68C6">
        <w:rPr>
          <w:rFonts w:ascii="Kristen ITC" w:hAnsi="Kristen ITC"/>
        </w:rPr>
        <w:t>deguamento adempimenti Società in controllo comunale</w:t>
      </w:r>
      <w:r w:rsidRPr="003D5161">
        <w:rPr>
          <w:rFonts w:ascii="Kristen ITC" w:hAnsi="Kristen ITC"/>
        </w:rPr>
        <w:t xml:space="preserve"> – annuale </w:t>
      </w:r>
    </w:p>
    <w:p w:rsidR="00C44B52" w:rsidRPr="003D5161" w:rsidRDefault="00C44B52" w:rsidP="00FB7F73">
      <w:pPr>
        <w:pStyle w:val="Paragrafoelenco"/>
        <w:numPr>
          <w:ilvl w:val="0"/>
          <w:numId w:val="2"/>
        </w:numPr>
        <w:jc w:val="both"/>
        <w:rPr>
          <w:rFonts w:ascii="Kristen ITC" w:hAnsi="Kristen ITC"/>
        </w:rPr>
      </w:pPr>
      <w:r w:rsidRPr="003D5161">
        <w:rPr>
          <w:rFonts w:ascii="Kristen ITC" w:hAnsi="Kristen ITC"/>
        </w:rPr>
        <w:t>Adozione PTPCT – 31 gennaio 2017</w:t>
      </w:r>
    </w:p>
    <w:p w:rsidR="00C44B52" w:rsidRPr="003D5161" w:rsidRDefault="00C44B52" w:rsidP="00FB7F73">
      <w:pPr>
        <w:pStyle w:val="Paragrafoelenco"/>
        <w:numPr>
          <w:ilvl w:val="0"/>
          <w:numId w:val="2"/>
        </w:numPr>
        <w:jc w:val="both"/>
        <w:rPr>
          <w:rFonts w:ascii="Kristen ITC" w:hAnsi="Kristen ITC"/>
        </w:rPr>
      </w:pPr>
      <w:r w:rsidRPr="003D5161">
        <w:rPr>
          <w:rFonts w:ascii="Kristen ITC" w:hAnsi="Kristen ITC"/>
        </w:rPr>
        <w:t xml:space="preserve">Pubblicazione </w:t>
      </w:r>
      <w:proofErr w:type="gramStart"/>
      <w:r w:rsidRPr="003D5161">
        <w:rPr>
          <w:rFonts w:ascii="Kristen ITC" w:hAnsi="Kristen ITC"/>
        </w:rPr>
        <w:t>PTPCT  -</w:t>
      </w:r>
      <w:proofErr w:type="gramEnd"/>
      <w:r w:rsidRPr="003D5161">
        <w:rPr>
          <w:rFonts w:ascii="Kristen ITC" w:hAnsi="Kristen ITC"/>
        </w:rPr>
        <w:t xml:space="preserve"> 28 febbraio 2017 </w:t>
      </w:r>
    </w:p>
    <w:p w:rsidR="00C44B52" w:rsidRDefault="00C44B52" w:rsidP="00FB7F73">
      <w:pPr>
        <w:pStyle w:val="Paragrafoelenco"/>
        <w:numPr>
          <w:ilvl w:val="0"/>
          <w:numId w:val="2"/>
        </w:numPr>
        <w:jc w:val="both"/>
        <w:rPr>
          <w:rFonts w:ascii="Kristen ITC" w:hAnsi="Kristen ITC"/>
        </w:rPr>
      </w:pPr>
      <w:r w:rsidRPr="003D5161">
        <w:rPr>
          <w:rFonts w:ascii="Kristen ITC" w:hAnsi="Kristen ITC"/>
        </w:rPr>
        <w:t>Coordinamento obiettivi strategici in materia di trasparenza con obiettivi della programmazione e piano della perfo</w:t>
      </w:r>
      <w:r w:rsidR="003F04C7" w:rsidRPr="003D5161">
        <w:rPr>
          <w:rFonts w:ascii="Kristen ITC" w:hAnsi="Kristen ITC"/>
        </w:rPr>
        <w:t>r</w:t>
      </w:r>
      <w:r w:rsidRPr="003D5161">
        <w:rPr>
          <w:rFonts w:ascii="Kristen ITC" w:hAnsi="Kristen ITC"/>
        </w:rPr>
        <w:t xml:space="preserve">mance (co. 8 art. 1 L. 190/2012 come modificato dall’art. 41 co. 1 </w:t>
      </w:r>
      <w:proofErr w:type="spellStart"/>
      <w:r w:rsidRPr="003D5161">
        <w:rPr>
          <w:rFonts w:ascii="Kristen ITC" w:hAnsi="Kristen ITC"/>
        </w:rPr>
        <w:t>lett</w:t>
      </w:r>
      <w:proofErr w:type="spellEnd"/>
      <w:r w:rsidRPr="003D5161">
        <w:rPr>
          <w:rFonts w:ascii="Kristen ITC" w:hAnsi="Kristen ITC"/>
        </w:rPr>
        <w:t xml:space="preserve">. g del </w:t>
      </w:r>
      <w:proofErr w:type="spellStart"/>
      <w:r w:rsidRPr="003D5161">
        <w:rPr>
          <w:rFonts w:ascii="Kristen ITC" w:hAnsi="Kristen ITC"/>
        </w:rPr>
        <w:t>D.Lgv</w:t>
      </w:r>
      <w:proofErr w:type="spellEnd"/>
      <w:r w:rsidRPr="003D5161">
        <w:rPr>
          <w:rFonts w:ascii="Kristen ITC" w:hAnsi="Kristen ITC"/>
        </w:rPr>
        <w:t xml:space="preserve"> 97/2016)</w:t>
      </w:r>
      <w:r w:rsidR="00701B29">
        <w:rPr>
          <w:rFonts w:ascii="Kristen ITC" w:hAnsi="Kristen ITC"/>
        </w:rPr>
        <w:t xml:space="preserve"> – annuale</w:t>
      </w:r>
    </w:p>
    <w:p w:rsidR="00701B29" w:rsidRPr="003D5161" w:rsidRDefault="00701B29" w:rsidP="00FB7F73">
      <w:pPr>
        <w:pStyle w:val="Paragrafoelenco"/>
        <w:numPr>
          <w:ilvl w:val="0"/>
          <w:numId w:val="2"/>
        </w:numPr>
        <w:jc w:val="both"/>
        <w:rPr>
          <w:rFonts w:ascii="Kristen ITC" w:hAnsi="Kristen ITC"/>
        </w:rPr>
      </w:pPr>
      <w:r>
        <w:rPr>
          <w:rFonts w:ascii="Kristen ITC" w:hAnsi="Kristen ITC"/>
        </w:rPr>
        <w:t>Sistemazione piano ferie del personale dipendente</w:t>
      </w:r>
    </w:p>
    <w:p w:rsidR="003F04C7" w:rsidRPr="003D5161" w:rsidRDefault="003F04C7" w:rsidP="00FB7F73">
      <w:pPr>
        <w:pStyle w:val="Paragrafoelenco"/>
        <w:numPr>
          <w:ilvl w:val="0"/>
          <w:numId w:val="2"/>
        </w:numPr>
        <w:jc w:val="both"/>
        <w:rPr>
          <w:rFonts w:ascii="Kristen ITC" w:hAnsi="Kristen ITC"/>
        </w:rPr>
      </w:pPr>
      <w:r w:rsidRPr="003D5161">
        <w:rPr>
          <w:rFonts w:ascii="Kristen ITC" w:hAnsi="Kristen ITC"/>
        </w:rPr>
        <w:t xml:space="preserve">Sezione Trasparenza – atto organizzativo fondamentale dei flussi informatici per l’individuazione/l’elaborazione, la trasmissione e la pubblicazione dei </w:t>
      </w:r>
      <w:proofErr w:type="gramStart"/>
      <w:r w:rsidRPr="003D5161">
        <w:rPr>
          <w:rFonts w:ascii="Kristen ITC" w:hAnsi="Kristen ITC"/>
        </w:rPr>
        <w:t>dati  -</w:t>
      </w:r>
      <w:proofErr w:type="gramEnd"/>
      <w:r w:rsidRPr="003D5161">
        <w:rPr>
          <w:rFonts w:ascii="Kristen ITC" w:hAnsi="Kristen ITC"/>
        </w:rPr>
        <w:t xml:space="preserve"> annuale</w:t>
      </w:r>
    </w:p>
    <w:p w:rsidR="003F04C7" w:rsidRPr="003D5161" w:rsidRDefault="003F04C7" w:rsidP="00FB7F73">
      <w:pPr>
        <w:pStyle w:val="Paragrafoelenco"/>
        <w:numPr>
          <w:ilvl w:val="0"/>
          <w:numId w:val="2"/>
        </w:numPr>
        <w:jc w:val="both"/>
        <w:rPr>
          <w:rFonts w:ascii="Kristen ITC" w:hAnsi="Kristen ITC"/>
        </w:rPr>
      </w:pPr>
      <w:r w:rsidRPr="003D5161">
        <w:rPr>
          <w:rFonts w:ascii="Kristen ITC" w:hAnsi="Kristen ITC"/>
        </w:rPr>
        <w:t xml:space="preserve">Regia complessiva affidata al Responsabile Unico per la prevenzione della corruzione e trasparenza – coordinamento Responsabili Area P.O. – annuale </w:t>
      </w:r>
    </w:p>
    <w:p w:rsidR="003F04C7" w:rsidRPr="003D5161" w:rsidRDefault="003F04C7" w:rsidP="00FB7F73">
      <w:pPr>
        <w:pStyle w:val="Paragrafoelenco"/>
        <w:numPr>
          <w:ilvl w:val="0"/>
          <w:numId w:val="2"/>
        </w:numPr>
        <w:jc w:val="both"/>
        <w:rPr>
          <w:rFonts w:ascii="Kristen ITC" w:hAnsi="Kristen ITC"/>
        </w:rPr>
      </w:pPr>
      <w:r w:rsidRPr="003D5161">
        <w:rPr>
          <w:rFonts w:ascii="Kristen ITC" w:hAnsi="Kristen ITC"/>
        </w:rPr>
        <w:t xml:space="preserve">Qualità dei dati pubblicati – art. 6 co. 3 </w:t>
      </w:r>
      <w:proofErr w:type="spellStart"/>
      <w:r w:rsidRPr="003D5161">
        <w:rPr>
          <w:rFonts w:ascii="Kristen ITC" w:hAnsi="Kristen ITC"/>
        </w:rPr>
        <w:t>D.Lgv</w:t>
      </w:r>
      <w:proofErr w:type="spellEnd"/>
      <w:r w:rsidRPr="003D5161">
        <w:rPr>
          <w:rFonts w:ascii="Kristen ITC" w:hAnsi="Kristen ITC"/>
        </w:rPr>
        <w:t xml:space="preserve"> 97/</w:t>
      </w:r>
      <w:proofErr w:type="gramStart"/>
      <w:r w:rsidRPr="003D5161">
        <w:rPr>
          <w:rFonts w:ascii="Kristen ITC" w:hAnsi="Kristen ITC"/>
        </w:rPr>
        <w:t>2016  e</w:t>
      </w:r>
      <w:proofErr w:type="gramEnd"/>
      <w:r w:rsidRPr="003D5161">
        <w:rPr>
          <w:rFonts w:ascii="Kristen ITC" w:hAnsi="Kristen ITC"/>
        </w:rPr>
        <w:t xml:space="preserve"> Delibera ANAC n. 50/2013 requisiti di completezza, formato e dati di tipo aperto – semestrale </w:t>
      </w:r>
    </w:p>
    <w:p w:rsidR="003D5161" w:rsidRDefault="003F04C7" w:rsidP="009815BD">
      <w:pPr>
        <w:pStyle w:val="Paragrafoelenco"/>
        <w:numPr>
          <w:ilvl w:val="0"/>
          <w:numId w:val="2"/>
        </w:numPr>
        <w:jc w:val="both"/>
        <w:rPr>
          <w:rFonts w:ascii="Kristen ITC" w:hAnsi="Kristen ITC"/>
        </w:rPr>
      </w:pPr>
      <w:r w:rsidRPr="004323D6">
        <w:rPr>
          <w:rFonts w:ascii="Kristen ITC" w:hAnsi="Kristen ITC"/>
        </w:rPr>
        <w:t xml:space="preserve">Pubblicazione ordinaria quinquennale con decorrenza 1 gennaio anno successivo all’obbligo di </w:t>
      </w:r>
      <w:r w:rsidR="003D5161" w:rsidRPr="004323D6">
        <w:rPr>
          <w:rFonts w:ascii="Kristen ITC" w:hAnsi="Kristen ITC"/>
        </w:rPr>
        <w:t>pubblicazione – sezione archivio senza obbligo di conservazione</w:t>
      </w:r>
      <w:r w:rsidR="00EF5C7B">
        <w:rPr>
          <w:rFonts w:ascii="Kristen ITC" w:hAnsi="Kristen ITC"/>
        </w:rPr>
        <w:t xml:space="preserve"> - annuale</w:t>
      </w:r>
    </w:p>
    <w:p w:rsidR="004323D6" w:rsidRDefault="004323D6" w:rsidP="009815BD">
      <w:pPr>
        <w:pStyle w:val="Paragrafoelenco"/>
        <w:numPr>
          <w:ilvl w:val="0"/>
          <w:numId w:val="2"/>
        </w:numPr>
        <w:jc w:val="both"/>
        <w:rPr>
          <w:rFonts w:ascii="Kristen ITC" w:hAnsi="Kristen ITC"/>
        </w:rPr>
      </w:pPr>
      <w:r>
        <w:rPr>
          <w:rFonts w:ascii="Kristen ITC" w:hAnsi="Kristen ITC"/>
        </w:rPr>
        <w:t>Raccolta ed analisi per singola Area delle Istanze di accesso generalizzato – semestrale</w:t>
      </w:r>
    </w:p>
    <w:p w:rsidR="004323D6" w:rsidRDefault="006E68C6" w:rsidP="009815BD">
      <w:pPr>
        <w:pStyle w:val="Paragrafoelenco"/>
        <w:numPr>
          <w:ilvl w:val="0"/>
          <w:numId w:val="2"/>
        </w:numPr>
        <w:jc w:val="both"/>
        <w:rPr>
          <w:rFonts w:ascii="Kristen ITC" w:hAnsi="Kristen ITC"/>
        </w:rPr>
      </w:pPr>
      <w:r>
        <w:rPr>
          <w:rFonts w:ascii="Kristen ITC" w:hAnsi="Kristen ITC"/>
        </w:rPr>
        <w:t xml:space="preserve">Adozione PEG in versione FOIA </w:t>
      </w:r>
    </w:p>
    <w:p w:rsidR="000D3DD5" w:rsidRDefault="000D3DD5" w:rsidP="009815BD">
      <w:pPr>
        <w:pStyle w:val="Paragrafoelenco"/>
        <w:numPr>
          <w:ilvl w:val="0"/>
          <w:numId w:val="2"/>
        </w:numPr>
        <w:jc w:val="both"/>
        <w:rPr>
          <w:rFonts w:ascii="Kristen ITC" w:hAnsi="Kristen ITC"/>
        </w:rPr>
      </w:pPr>
      <w:r>
        <w:rPr>
          <w:rFonts w:ascii="Kristen ITC" w:hAnsi="Kristen ITC"/>
        </w:rPr>
        <w:t xml:space="preserve">Pubblicazione referti controllo interno successivo – trimestrale </w:t>
      </w:r>
    </w:p>
    <w:p w:rsidR="00EF5C7B" w:rsidRDefault="006E68C6" w:rsidP="009815BD">
      <w:pPr>
        <w:pStyle w:val="Paragrafoelenco"/>
        <w:numPr>
          <w:ilvl w:val="0"/>
          <w:numId w:val="2"/>
        </w:numPr>
        <w:jc w:val="both"/>
        <w:rPr>
          <w:rFonts w:ascii="Kristen ITC" w:hAnsi="Kristen ITC"/>
        </w:rPr>
      </w:pPr>
      <w:r>
        <w:rPr>
          <w:rFonts w:ascii="Kristen ITC" w:hAnsi="Kristen ITC"/>
        </w:rPr>
        <w:t xml:space="preserve">Pubblicazione obiettivi </w:t>
      </w:r>
      <w:proofErr w:type="gramStart"/>
      <w:r>
        <w:rPr>
          <w:rFonts w:ascii="Kristen ITC" w:hAnsi="Kristen ITC"/>
        </w:rPr>
        <w:t>specifici  assegnati</w:t>
      </w:r>
      <w:proofErr w:type="gramEnd"/>
      <w:r>
        <w:rPr>
          <w:rFonts w:ascii="Kristen ITC" w:hAnsi="Kristen ITC"/>
        </w:rPr>
        <w:t xml:space="preserve"> alle Società in controllo comunale sul complesso delle spese di funzionamento e provved</w:t>
      </w:r>
      <w:r w:rsidR="00EF5C7B">
        <w:rPr>
          <w:rFonts w:ascii="Kristen ITC" w:hAnsi="Kristen ITC"/>
        </w:rPr>
        <w:t>imenti di recezione – tempestiva</w:t>
      </w:r>
    </w:p>
    <w:p w:rsidR="006E68C6" w:rsidRDefault="00EF5C7B" w:rsidP="009815BD">
      <w:pPr>
        <w:pStyle w:val="Paragrafoelenco"/>
        <w:numPr>
          <w:ilvl w:val="0"/>
          <w:numId w:val="2"/>
        </w:numPr>
        <w:jc w:val="both"/>
        <w:rPr>
          <w:rFonts w:ascii="Kristen ITC" w:hAnsi="Kristen ITC"/>
        </w:rPr>
      </w:pPr>
      <w:r>
        <w:rPr>
          <w:rFonts w:ascii="Kristen ITC" w:hAnsi="Kristen ITC"/>
        </w:rPr>
        <w:t xml:space="preserve">Formazione specifica per il personale indicato dai </w:t>
      </w:r>
      <w:proofErr w:type="spellStart"/>
      <w:r>
        <w:rPr>
          <w:rFonts w:ascii="Kristen ITC" w:hAnsi="Kristen ITC"/>
        </w:rPr>
        <w:t>Resp</w:t>
      </w:r>
      <w:proofErr w:type="spellEnd"/>
      <w:r>
        <w:rPr>
          <w:rFonts w:ascii="Kristen ITC" w:hAnsi="Kristen ITC"/>
        </w:rPr>
        <w:t>. di Area</w:t>
      </w:r>
      <w:r w:rsidR="003C5A65">
        <w:rPr>
          <w:rFonts w:ascii="Kristen ITC" w:hAnsi="Kristen ITC"/>
        </w:rPr>
        <w:t xml:space="preserve"> – Introduzione crediti formativi </w:t>
      </w:r>
      <w:r>
        <w:rPr>
          <w:rFonts w:ascii="Kristen ITC" w:hAnsi="Kristen ITC"/>
        </w:rPr>
        <w:t xml:space="preserve"> </w:t>
      </w:r>
      <w:r w:rsidR="006E68C6">
        <w:rPr>
          <w:rFonts w:ascii="Kristen ITC" w:hAnsi="Kristen ITC"/>
        </w:rPr>
        <w:t xml:space="preserve"> </w:t>
      </w:r>
      <w:r>
        <w:rPr>
          <w:rFonts w:ascii="Kristen ITC" w:hAnsi="Kristen ITC"/>
        </w:rPr>
        <w:t xml:space="preserve">- </w:t>
      </w:r>
      <w:r w:rsidR="003C5A65">
        <w:rPr>
          <w:rFonts w:ascii="Kristen ITC" w:hAnsi="Kristen ITC"/>
        </w:rPr>
        <w:t xml:space="preserve"> permanente /</w:t>
      </w:r>
      <w:r>
        <w:rPr>
          <w:rFonts w:ascii="Kristen ITC" w:hAnsi="Kristen ITC"/>
        </w:rPr>
        <w:t>annuale</w:t>
      </w:r>
    </w:p>
    <w:p w:rsidR="006E68C6" w:rsidRPr="004323D6" w:rsidRDefault="006E68C6" w:rsidP="009815BD">
      <w:pPr>
        <w:pStyle w:val="Paragrafoelenco"/>
        <w:numPr>
          <w:ilvl w:val="0"/>
          <w:numId w:val="2"/>
        </w:numPr>
        <w:jc w:val="both"/>
        <w:rPr>
          <w:rFonts w:ascii="Kristen ITC" w:hAnsi="Kristen ITC"/>
        </w:rPr>
      </w:pPr>
      <w:r>
        <w:rPr>
          <w:rFonts w:ascii="Kristen ITC" w:hAnsi="Kristen ITC"/>
        </w:rPr>
        <w:t xml:space="preserve">Pubblicazione verbali Nucleo di </w:t>
      </w:r>
      <w:proofErr w:type="gramStart"/>
      <w:r>
        <w:rPr>
          <w:rFonts w:ascii="Kristen ITC" w:hAnsi="Kristen ITC"/>
        </w:rPr>
        <w:t xml:space="preserve">Valutazione  </w:t>
      </w:r>
      <w:r w:rsidR="00EF5C7B">
        <w:rPr>
          <w:rFonts w:ascii="Kristen ITC" w:hAnsi="Kristen ITC"/>
        </w:rPr>
        <w:t>-</w:t>
      </w:r>
      <w:proofErr w:type="gramEnd"/>
      <w:r w:rsidR="00EF5C7B">
        <w:rPr>
          <w:rFonts w:ascii="Kristen ITC" w:hAnsi="Kristen ITC"/>
        </w:rPr>
        <w:t xml:space="preserve"> annuale</w:t>
      </w:r>
    </w:p>
    <w:p w:rsidR="003D5161" w:rsidRPr="003D5161" w:rsidRDefault="003D5161" w:rsidP="003D5161">
      <w:pPr>
        <w:pStyle w:val="Paragrafoelenco"/>
        <w:jc w:val="both"/>
        <w:rPr>
          <w:rFonts w:ascii="Kristen ITC" w:hAnsi="Kristen ITC"/>
        </w:rPr>
      </w:pPr>
    </w:p>
    <w:p w:rsidR="003D5161" w:rsidRPr="003D5161" w:rsidRDefault="003D5161" w:rsidP="003D5161">
      <w:pPr>
        <w:pStyle w:val="Paragrafoelenco"/>
        <w:jc w:val="both"/>
        <w:rPr>
          <w:rFonts w:ascii="Kristen ITC" w:hAnsi="Kristen ITC"/>
        </w:rPr>
      </w:pPr>
    </w:p>
    <w:p w:rsidR="000D3DD5" w:rsidRDefault="003D5161" w:rsidP="003D5161">
      <w:pPr>
        <w:pStyle w:val="Paragrafoelenco"/>
        <w:jc w:val="both"/>
        <w:rPr>
          <w:rFonts w:ascii="Kristen ITC" w:hAnsi="Kristen ITC"/>
        </w:rPr>
      </w:pPr>
      <w:r w:rsidRPr="00CF3E75">
        <w:rPr>
          <w:rFonts w:ascii="Kristen ITC" w:hAnsi="Kristen ITC"/>
          <w:color w:val="002060"/>
          <w:u w:val="single"/>
        </w:rPr>
        <w:t>ELENCO dei RESPONSABILI</w:t>
      </w:r>
      <w:r w:rsidRPr="00CF3E75">
        <w:rPr>
          <w:rFonts w:ascii="Kristen ITC" w:hAnsi="Kristen ITC"/>
          <w:color w:val="002060"/>
        </w:rPr>
        <w:t xml:space="preserve"> </w:t>
      </w:r>
      <w:r w:rsidR="000D3DD5">
        <w:rPr>
          <w:rFonts w:ascii="Kristen ITC" w:hAnsi="Kristen ITC"/>
        </w:rPr>
        <w:t xml:space="preserve">Comunali </w:t>
      </w:r>
      <w:r w:rsidRPr="003D5161">
        <w:rPr>
          <w:rFonts w:ascii="Kristen ITC" w:hAnsi="Kristen ITC"/>
        </w:rPr>
        <w:t xml:space="preserve">della trasmissione e della pubblicazione dei documenti e delle Informazioni (art. 10 co. 1 </w:t>
      </w:r>
      <w:proofErr w:type="spellStart"/>
      <w:r w:rsidRPr="003D5161">
        <w:rPr>
          <w:rFonts w:ascii="Kristen ITC" w:hAnsi="Kristen ITC"/>
        </w:rPr>
        <w:t>D.Lgv</w:t>
      </w:r>
      <w:proofErr w:type="spellEnd"/>
      <w:r w:rsidRPr="003D5161">
        <w:rPr>
          <w:rFonts w:ascii="Kristen ITC" w:hAnsi="Kristen ITC"/>
        </w:rPr>
        <w:t xml:space="preserve"> 33/2013) </w:t>
      </w:r>
    </w:p>
    <w:p w:rsidR="00304E73" w:rsidRDefault="000D3DD5" w:rsidP="003D5161">
      <w:pPr>
        <w:pStyle w:val="Paragrafoelenco"/>
        <w:jc w:val="both"/>
        <w:rPr>
          <w:rFonts w:ascii="Kristen ITC" w:hAnsi="Kristen ITC"/>
        </w:rPr>
      </w:pPr>
      <w:r>
        <w:rPr>
          <w:rFonts w:ascii="Kristen ITC" w:hAnsi="Kristen ITC"/>
        </w:rPr>
        <w:t xml:space="preserve">Area di </w:t>
      </w:r>
      <w:proofErr w:type="gramStart"/>
      <w:r>
        <w:rPr>
          <w:rFonts w:ascii="Kristen ITC" w:hAnsi="Kristen ITC"/>
        </w:rPr>
        <w:t>riferim</w:t>
      </w:r>
      <w:r w:rsidR="00304E73">
        <w:rPr>
          <w:rFonts w:ascii="Kristen ITC" w:hAnsi="Kristen ITC"/>
        </w:rPr>
        <w:t>ento :</w:t>
      </w:r>
      <w:proofErr w:type="gramEnd"/>
      <w:r w:rsidR="00304E73">
        <w:rPr>
          <w:rFonts w:ascii="Kristen ITC" w:hAnsi="Kristen ITC"/>
        </w:rPr>
        <w:t xml:space="preserve">  AREA AMMINISTRATIVA </w:t>
      </w:r>
      <w:proofErr w:type="spellStart"/>
      <w:r w:rsidR="00304E73">
        <w:rPr>
          <w:rFonts w:ascii="Kristen ITC" w:hAnsi="Kristen ITC"/>
        </w:rPr>
        <w:t>Resp</w:t>
      </w:r>
      <w:proofErr w:type="spellEnd"/>
      <w:r w:rsidR="00304E73">
        <w:rPr>
          <w:rFonts w:ascii="Kristen ITC" w:hAnsi="Kristen ITC"/>
        </w:rPr>
        <w:t>. Dr.ssa Grazia Torelli</w:t>
      </w:r>
    </w:p>
    <w:p w:rsidR="00304E73" w:rsidRDefault="00304E73" w:rsidP="003D5161">
      <w:pPr>
        <w:pStyle w:val="Paragrafoelenco"/>
        <w:jc w:val="both"/>
        <w:rPr>
          <w:rFonts w:ascii="Kristen ITC" w:hAnsi="Kristen ITC"/>
        </w:rPr>
      </w:pPr>
      <w:r>
        <w:rPr>
          <w:rFonts w:ascii="Kristen ITC" w:hAnsi="Kristen ITC"/>
        </w:rPr>
        <w:t xml:space="preserve">Area Edilizia </w:t>
      </w:r>
      <w:proofErr w:type="gramStart"/>
      <w:r>
        <w:rPr>
          <w:rFonts w:ascii="Kristen ITC" w:hAnsi="Kristen ITC"/>
        </w:rPr>
        <w:t>Ambiente :</w:t>
      </w:r>
      <w:proofErr w:type="gramEnd"/>
      <w:r>
        <w:rPr>
          <w:rFonts w:ascii="Kristen ITC" w:hAnsi="Kristen ITC"/>
        </w:rPr>
        <w:t xml:space="preserve"> Duchini Massimo P.O.</w:t>
      </w:r>
    </w:p>
    <w:p w:rsidR="00183A89" w:rsidRDefault="00304E73" w:rsidP="003D5161">
      <w:pPr>
        <w:pStyle w:val="Paragrafoelenco"/>
        <w:jc w:val="both"/>
        <w:rPr>
          <w:rFonts w:ascii="Kristen ITC" w:hAnsi="Kristen ITC"/>
        </w:rPr>
      </w:pPr>
      <w:r>
        <w:rPr>
          <w:rFonts w:ascii="Kristen ITC" w:hAnsi="Kristen ITC"/>
        </w:rPr>
        <w:t xml:space="preserve">Area </w:t>
      </w:r>
      <w:proofErr w:type="gramStart"/>
      <w:r>
        <w:rPr>
          <w:rFonts w:ascii="Kristen ITC" w:hAnsi="Kristen ITC"/>
        </w:rPr>
        <w:t>Urbanistica :</w:t>
      </w:r>
      <w:proofErr w:type="gramEnd"/>
      <w:r>
        <w:rPr>
          <w:rFonts w:ascii="Kristen ITC" w:hAnsi="Kristen ITC"/>
        </w:rPr>
        <w:t xml:space="preserve"> Massimo Bertone  P.O.</w:t>
      </w:r>
    </w:p>
    <w:p w:rsidR="0085165B" w:rsidRDefault="00183A89" w:rsidP="003D5161">
      <w:pPr>
        <w:pStyle w:val="Paragrafoelenco"/>
        <w:jc w:val="both"/>
        <w:rPr>
          <w:rFonts w:ascii="Kristen ITC" w:hAnsi="Kristen ITC"/>
        </w:rPr>
      </w:pPr>
      <w:proofErr w:type="gramStart"/>
      <w:r>
        <w:rPr>
          <w:rFonts w:ascii="Kristen ITC" w:hAnsi="Kristen ITC"/>
        </w:rPr>
        <w:lastRenderedPageBreak/>
        <w:t xml:space="preserve">Area </w:t>
      </w:r>
      <w:r w:rsidR="000D3DD5">
        <w:rPr>
          <w:rFonts w:ascii="Kristen ITC" w:hAnsi="Kristen ITC"/>
        </w:rPr>
        <w:t xml:space="preserve"> </w:t>
      </w:r>
      <w:proofErr w:type="spellStart"/>
      <w:r w:rsidR="0085165B">
        <w:rPr>
          <w:rFonts w:ascii="Kristen ITC" w:hAnsi="Kristen ITC"/>
        </w:rPr>
        <w:t>Area</w:t>
      </w:r>
      <w:proofErr w:type="spellEnd"/>
      <w:proofErr w:type="gramEnd"/>
      <w:r w:rsidR="0085165B">
        <w:rPr>
          <w:rFonts w:ascii="Kristen ITC" w:hAnsi="Kristen ITC"/>
        </w:rPr>
        <w:t xml:space="preserve"> Patrimonio: Giorgio Fanciulli</w:t>
      </w:r>
    </w:p>
    <w:p w:rsidR="009511BB" w:rsidRDefault="009511BB" w:rsidP="003D5161">
      <w:pPr>
        <w:pStyle w:val="Paragrafoelenco"/>
        <w:jc w:val="both"/>
        <w:rPr>
          <w:rFonts w:ascii="Kristen ITC" w:hAnsi="Kristen ITC"/>
        </w:rPr>
      </w:pPr>
      <w:r>
        <w:rPr>
          <w:rFonts w:ascii="Kristen ITC" w:hAnsi="Kristen ITC"/>
        </w:rPr>
        <w:t xml:space="preserve">Area Servizi alla persona cultura </w:t>
      </w:r>
      <w:proofErr w:type="gramStart"/>
      <w:r>
        <w:rPr>
          <w:rFonts w:ascii="Kristen ITC" w:hAnsi="Kristen ITC"/>
        </w:rPr>
        <w:t>sport :</w:t>
      </w:r>
      <w:proofErr w:type="gramEnd"/>
      <w:r>
        <w:rPr>
          <w:rFonts w:ascii="Kristen ITC" w:hAnsi="Kristen ITC"/>
        </w:rPr>
        <w:t xml:space="preserve"> Gabriella </w:t>
      </w:r>
      <w:proofErr w:type="spellStart"/>
      <w:r>
        <w:rPr>
          <w:rFonts w:ascii="Kristen ITC" w:hAnsi="Kristen ITC"/>
        </w:rPr>
        <w:t>Gallorini</w:t>
      </w:r>
      <w:proofErr w:type="spellEnd"/>
    </w:p>
    <w:p w:rsidR="009511BB" w:rsidRDefault="009511BB" w:rsidP="003D5161">
      <w:pPr>
        <w:pStyle w:val="Paragrafoelenco"/>
        <w:jc w:val="both"/>
        <w:rPr>
          <w:rFonts w:ascii="Kristen ITC" w:hAnsi="Kristen ITC"/>
        </w:rPr>
      </w:pPr>
      <w:r>
        <w:rPr>
          <w:rFonts w:ascii="Kristen ITC" w:hAnsi="Kristen ITC"/>
        </w:rPr>
        <w:t>Area Finanziaria: Simonetta Gambini</w:t>
      </w:r>
    </w:p>
    <w:p w:rsidR="009511BB" w:rsidRDefault="009511BB" w:rsidP="003D5161">
      <w:pPr>
        <w:pStyle w:val="Paragrafoelenco"/>
        <w:jc w:val="both"/>
        <w:rPr>
          <w:rFonts w:ascii="Kristen ITC" w:hAnsi="Kristen ITC"/>
        </w:rPr>
      </w:pPr>
      <w:r>
        <w:rPr>
          <w:rFonts w:ascii="Kristen ITC" w:hAnsi="Kristen ITC"/>
        </w:rPr>
        <w:t xml:space="preserve">Area LL.PP. Patrimonio </w:t>
      </w:r>
      <w:proofErr w:type="gramStart"/>
      <w:r>
        <w:rPr>
          <w:rFonts w:ascii="Kristen ITC" w:hAnsi="Kristen ITC"/>
        </w:rPr>
        <w:t>Manutenzioni :</w:t>
      </w:r>
      <w:proofErr w:type="gramEnd"/>
      <w:r>
        <w:rPr>
          <w:rFonts w:ascii="Kristen ITC" w:hAnsi="Kristen ITC"/>
        </w:rPr>
        <w:t xml:space="preserve"> Roberto Rosati</w:t>
      </w:r>
    </w:p>
    <w:p w:rsidR="00AC722C" w:rsidRDefault="009511BB" w:rsidP="003D5161">
      <w:pPr>
        <w:pStyle w:val="Paragrafoelenco"/>
        <w:jc w:val="both"/>
        <w:rPr>
          <w:rFonts w:ascii="Kristen ITC" w:hAnsi="Kristen ITC"/>
        </w:rPr>
      </w:pPr>
      <w:r>
        <w:rPr>
          <w:rFonts w:ascii="Kristen ITC" w:hAnsi="Kristen ITC"/>
        </w:rPr>
        <w:t>Area Affari Generali attività produttive: Grazia Torelli</w:t>
      </w:r>
    </w:p>
    <w:p w:rsidR="000D3DD5" w:rsidRDefault="00AC722C" w:rsidP="003D5161">
      <w:pPr>
        <w:pStyle w:val="Paragrafoelenco"/>
        <w:jc w:val="both"/>
        <w:rPr>
          <w:rFonts w:ascii="Kristen ITC" w:hAnsi="Kristen ITC"/>
        </w:rPr>
      </w:pPr>
      <w:r>
        <w:rPr>
          <w:rFonts w:ascii="Kristen ITC" w:hAnsi="Kristen ITC"/>
        </w:rPr>
        <w:t xml:space="preserve">Polizia </w:t>
      </w:r>
      <w:proofErr w:type="gramStart"/>
      <w:r>
        <w:rPr>
          <w:rFonts w:ascii="Kristen ITC" w:hAnsi="Kristen ITC"/>
        </w:rPr>
        <w:t>Municipale :</w:t>
      </w:r>
      <w:proofErr w:type="gramEnd"/>
      <w:r>
        <w:rPr>
          <w:rFonts w:ascii="Kristen ITC" w:hAnsi="Kristen ITC"/>
        </w:rPr>
        <w:t xml:space="preserve"> Luca </w:t>
      </w:r>
      <w:proofErr w:type="spellStart"/>
      <w:r>
        <w:rPr>
          <w:rFonts w:ascii="Kristen ITC" w:hAnsi="Kristen ITC"/>
        </w:rPr>
        <w:t>Batignani</w:t>
      </w:r>
      <w:proofErr w:type="spellEnd"/>
      <w:r>
        <w:rPr>
          <w:rFonts w:ascii="Kristen ITC" w:hAnsi="Kristen ITC"/>
        </w:rPr>
        <w:t xml:space="preserve"> </w:t>
      </w:r>
      <w:r w:rsidR="000D3DD5">
        <w:rPr>
          <w:rFonts w:ascii="Kristen ITC" w:hAnsi="Kristen ITC"/>
        </w:rPr>
        <w:t xml:space="preserve"> </w:t>
      </w:r>
    </w:p>
    <w:p w:rsidR="003F04C7" w:rsidRDefault="003F04C7" w:rsidP="003D5161">
      <w:pPr>
        <w:pStyle w:val="Paragrafoelenco"/>
        <w:jc w:val="both"/>
        <w:rPr>
          <w:rFonts w:ascii="Kristen ITC" w:hAnsi="Kristen ITC"/>
        </w:rPr>
      </w:pPr>
      <w:r w:rsidRPr="003D5161">
        <w:rPr>
          <w:rFonts w:ascii="Kristen ITC" w:hAnsi="Kristen ITC"/>
        </w:rPr>
        <w:t xml:space="preserve">   </w:t>
      </w:r>
    </w:p>
    <w:p w:rsidR="006E68C6" w:rsidRDefault="006E68C6" w:rsidP="000D3DD5">
      <w:pPr>
        <w:jc w:val="both"/>
        <w:rPr>
          <w:rFonts w:ascii="Kristen ITC" w:hAnsi="Kristen ITC"/>
          <w:sz w:val="24"/>
          <w:szCs w:val="24"/>
        </w:rPr>
      </w:pPr>
      <w:r w:rsidRPr="000D3DD5">
        <w:rPr>
          <w:rFonts w:ascii="Kristen ITC" w:hAnsi="Kristen ITC"/>
          <w:sz w:val="24"/>
          <w:szCs w:val="24"/>
        </w:rPr>
        <w:t>Per la Società partecipata Montepulciano Servizi – Responsabile</w:t>
      </w:r>
      <w:r w:rsidR="00304E73">
        <w:rPr>
          <w:rFonts w:ascii="Kristen ITC" w:hAnsi="Kristen ITC"/>
          <w:sz w:val="24"/>
          <w:szCs w:val="24"/>
        </w:rPr>
        <w:t xml:space="preserve"> </w:t>
      </w:r>
      <w:proofErr w:type="gramStart"/>
      <w:r w:rsidR="00304E73">
        <w:rPr>
          <w:rFonts w:ascii="Kristen ITC" w:hAnsi="Kristen ITC"/>
          <w:sz w:val="24"/>
          <w:szCs w:val="24"/>
        </w:rPr>
        <w:t>Unico  :</w:t>
      </w:r>
      <w:proofErr w:type="gramEnd"/>
      <w:r w:rsidR="00304E73">
        <w:rPr>
          <w:rFonts w:ascii="Kristen ITC" w:hAnsi="Kristen ITC"/>
          <w:sz w:val="24"/>
          <w:szCs w:val="24"/>
        </w:rPr>
        <w:t xml:space="preserve"> Trasparenza </w:t>
      </w:r>
      <w:r w:rsidRPr="000D3DD5">
        <w:rPr>
          <w:rFonts w:ascii="Kristen ITC" w:hAnsi="Kristen ITC"/>
          <w:sz w:val="24"/>
          <w:szCs w:val="24"/>
        </w:rPr>
        <w:t xml:space="preserve"> Anticorru</w:t>
      </w:r>
      <w:r w:rsidR="00304E73">
        <w:rPr>
          <w:rFonts w:ascii="Kristen ITC" w:hAnsi="Kristen ITC"/>
          <w:sz w:val="24"/>
          <w:szCs w:val="24"/>
        </w:rPr>
        <w:t xml:space="preserve">zione  Dr.ssa Pia Isolani – Funzionario Comunale assegnato. </w:t>
      </w:r>
    </w:p>
    <w:p w:rsidR="00EF5C7B" w:rsidRDefault="00AC722C" w:rsidP="000D3DD5">
      <w:pPr>
        <w:jc w:val="both"/>
        <w:rPr>
          <w:rFonts w:ascii="Kristen ITC" w:hAnsi="Kristen ITC"/>
          <w:sz w:val="24"/>
          <w:szCs w:val="24"/>
        </w:rPr>
      </w:pPr>
      <w:r>
        <w:rPr>
          <w:rFonts w:ascii="Kristen ITC" w:hAnsi="Kristen ITC"/>
          <w:sz w:val="24"/>
          <w:szCs w:val="24"/>
        </w:rPr>
        <w:t>Il personale dipendente chiamato a partecipare ai corsi di formazione in materia viene individuato con apposito provvedimento del RPCT oggetto di pubblicazione.</w:t>
      </w:r>
    </w:p>
    <w:p w:rsidR="00EF5C7B" w:rsidRPr="00CF3E75" w:rsidRDefault="00EF5C7B" w:rsidP="000D0CD3">
      <w:pPr>
        <w:jc w:val="center"/>
        <w:rPr>
          <w:rFonts w:ascii="Kristen ITC" w:hAnsi="Kristen ITC"/>
          <w:color w:val="00B050"/>
          <w:sz w:val="24"/>
          <w:szCs w:val="24"/>
          <w:u w:val="single"/>
        </w:rPr>
      </w:pPr>
      <w:r w:rsidRPr="00CF3E75">
        <w:rPr>
          <w:rFonts w:ascii="Kristen ITC" w:hAnsi="Kristen ITC"/>
          <w:color w:val="00B050"/>
          <w:sz w:val="24"/>
          <w:szCs w:val="24"/>
          <w:u w:val="single"/>
        </w:rPr>
        <w:t>PIANO PREVENZIONE CORRUZIONE</w:t>
      </w:r>
      <w:r w:rsidR="00D55C34" w:rsidRPr="00CF3E75">
        <w:rPr>
          <w:rFonts w:ascii="Kristen ITC" w:hAnsi="Kristen ITC"/>
          <w:color w:val="00B050"/>
          <w:sz w:val="24"/>
          <w:szCs w:val="24"/>
          <w:u w:val="single"/>
        </w:rPr>
        <w:t xml:space="preserve"> Triennale 2017 </w:t>
      </w:r>
      <w:r w:rsidR="000D0CD3" w:rsidRPr="00CF3E75">
        <w:rPr>
          <w:rFonts w:ascii="Kristen ITC" w:hAnsi="Kristen ITC"/>
          <w:color w:val="00B050"/>
          <w:sz w:val="24"/>
          <w:szCs w:val="24"/>
          <w:u w:val="single"/>
        </w:rPr>
        <w:t>–</w:t>
      </w:r>
      <w:r w:rsidR="00D55C34" w:rsidRPr="00CF3E75">
        <w:rPr>
          <w:rFonts w:ascii="Kristen ITC" w:hAnsi="Kristen ITC"/>
          <w:color w:val="00B050"/>
          <w:sz w:val="24"/>
          <w:szCs w:val="24"/>
          <w:u w:val="single"/>
        </w:rPr>
        <w:t xml:space="preserve"> 2019</w:t>
      </w:r>
    </w:p>
    <w:p w:rsidR="000D0CD3" w:rsidRDefault="000D0CD3" w:rsidP="000D0CD3">
      <w:pPr>
        <w:jc w:val="center"/>
        <w:rPr>
          <w:rFonts w:ascii="Kristen ITC" w:hAnsi="Kristen ITC"/>
          <w:sz w:val="24"/>
          <w:szCs w:val="24"/>
        </w:rPr>
      </w:pPr>
    </w:p>
    <w:p w:rsidR="00EF5C7B" w:rsidRDefault="00EF5C7B" w:rsidP="000D3DD5">
      <w:pPr>
        <w:jc w:val="both"/>
        <w:rPr>
          <w:rFonts w:ascii="Kristen ITC" w:hAnsi="Kristen ITC"/>
          <w:sz w:val="24"/>
          <w:szCs w:val="24"/>
        </w:rPr>
      </w:pPr>
      <w:r>
        <w:rPr>
          <w:rFonts w:ascii="Kristen ITC" w:hAnsi="Kristen ITC"/>
          <w:sz w:val="24"/>
          <w:szCs w:val="24"/>
        </w:rPr>
        <w:t xml:space="preserve">Si ritiene di confermare, con le integrazioni contenute </w:t>
      </w:r>
      <w:proofErr w:type="gramStart"/>
      <w:r>
        <w:rPr>
          <w:rFonts w:ascii="Kristen ITC" w:hAnsi="Kristen ITC"/>
          <w:sz w:val="24"/>
          <w:szCs w:val="24"/>
        </w:rPr>
        <w:t>nel  presente</w:t>
      </w:r>
      <w:proofErr w:type="gramEnd"/>
      <w:r>
        <w:rPr>
          <w:rFonts w:ascii="Kristen ITC" w:hAnsi="Kristen ITC"/>
          <w:sz w:val="24"/>
          <w:szCs w:val="24"/>
        </w:rPr>
        <w:t xml:space="preserve"> documento, approvato con Deliberazione dell’Organo di Governo, la Giunta Comunale, con provvedimento n. ______ in data __________, il Piano Triennale vigente, di cui si dispone la pubblicazione nei termini di Legge.</w:t>
      </w:r>
    </w:p>
    <w:p w:rsidR="00D55C34" w:rsidRDefault="00EF5C7B" w:rsidP="000D3DD5">
      <w:pPr>
        <w:jc w:val="both"/>
        <w:rPr>
          <w:rFonts w:ascii="Kristen ITC" w:hAnsi="Kristen ITC"/>
          <w:sz w:val="24"/>
          <w:szCs w:val="24"/>
        </w:rPr>
      </w:pPr>
      <w:r>
        <w:rPr>
          <w:rFonts w:ascii="Kristen ITC" w:hAnsi="Kristen ITC"/>
          <w:sz w:val="24"/>
          <w:szCs w:val="24"/>
        </w:rPr>
        <w:t>Il Comune di Montepulciano è interessato da una profonda riorganizzazione dei propri uffici e delle proprie attività, anche in relazione alla crescita dei servizi in convenzione con il Comune di Torrita di Siena, attualmente estesi alla Segreteria Generale, alla Polizia Municipale, all’</w:t>
      </w:r>
      <w:r w:rsidR="000D0CD3">
        <w:rPr>
          <w:rFonts w:ascii="Kristen ITC" w:hAnsi="Kristen ITC"/>
          <w:sz w:val="24"/>
          <w:szCs w:val="24"/>
        </w:rPr>
        <w:t>area A</w:t>
      </w:r>
      <w:r>
        <w:rPr>
          <w:rFonts w:ascii="Kristen ITC" w:hAnsi="Kristen ITC"/>
          <w:sz w:val="24"/>
          <w:szCs w:val="24"/>
        </w:rPr>
        <w:t>mbiente e all’</w:t>
      </w:r>
      <w:r w:rsidR="000D0CD3">
        <w:rPr>
          <w:rFonts w:ascii="Kristen ITC" w:hAnsi="Kristen ITC"/>
          <w:sz w:val="24"/>
          <w:szCs w:val="24"/>
        </w:rPr>
        <w:t>area A</w:t>
      </w:r>
      <w:r w:rsidR="009815BD">
        <w:rPr>
          <w:rFonts w:ascii="Kristen ITC" w:hAnsi="Kristen ITC"/>
          <w:sz w:val="24"/>
          <w:szCs w:val="24"/>
        </w:rPr>
        <w:t>mministrativa ed ha avviato</w:t>
      </w:r>
      <w:r w:rsidR="00FA4EF3">
        <w:rPr>
          <w:rFonts w:ascii="Kristen ITC" w:hAnsi="Kristen ITC"/>
          <w:sz w:val="24"/>
          <w:szCs w:val="24"/>
        </w:rPr>
        <w:t xml:space="preserve"> </w:t>
      </w:r>
      <w:r w:rsidR="009815BD">
        <w:rPr>
          <w:rFonts w:ascii="Kristen ITC" w:hAnsi="Kristen ITC"/>
          <w:sz w:val="24"/>
          <w:szCs w:val="24"/>
        </w:rPr>
        <w:t xml:space="preserve">  </w:t>
      </w:r>
      <w:proofErr w:type="gramStart"/>
      <w:r w:rsidR="009815BD">
        <w:rPr>
          <w:rFonts w:ascii="Kristen ITC" w:hAnsi="Kristen ITC"/>
          <w:sz w:val="24"/>
          <w:szCs w:val="24"/>
        </w:rPr>
        <w:t>il  processo</w:t>
      </w:r>
      <w:proofErr w:type="gramEnd"/>
      <w:r w:rsidR="009815BD">
        <w:rPr>
          <w:rFonts w:ascii="Kristen ITC" w:hAnsi="Kristen ITC"/>
          <w:sz w:val="24"/>
          <w:szCs w:val="24"/>
        </w:rPr>
        <w:t xml:space="preserve"> di fusione </w:t>
      </w:r>
      <w:r w:rsidR="00D55C34">
        <w:rPr>
          <w:rFonts w:ascii="Kristen ITC" w:hAnsi="Kristen ITC"/>
          <w:sz w:val="24"/>
          <w:szCs w:val="24"/>
        </w:rPr>
        <w:t xml:space="preserve"> fra i due Comuni, per il quale sta lavorando apposita Commissione congiunta. </w:t>
      </w:r>
      <w:r w:rsidR="0073590E">
        <w:rPr>
          <w:rFonts w:ascii="Kristen ITC" w:hAnsi="Kristen ITC"/>
          <w:sz w:val="24"/>
          <w:szCs w:val="24"/>
        </w:rPr>
        <w:t xml:space="preserve">Il Comune di Montepulciano fa parte dell’Unione dei Comuni della </w:t>
      </w:r>
      <w:proofErr w:type="spellStart"/>
      <w:r w:rsidR="0073590E">
        <w:rPr>
          <w:rFonts w:ascii="Kristen ITC" w:hAnsi="Kristen ITC"/>
          <w:sz w:val="24"/>
          <w:szCs w:val="24"/>
        </w:rPr>
        <w:t>Valdichiana</w:t>
      </w:r>
      <w:proofErr w:type="spellEnd"/>
      <w:r w:rsidR="0073590E">
        <w:rPr>
          <w:rFonts w:ascii="Kristen ITC" w:hAnsi="Kristen ITC"/>
          <w:sz w:val="24"/>
          <w:szCs w:val="24"/>
        </w:rPr>
        <w:t xml:space="preserve">. </w:t>
      </w:r>
    </w:p>
    <w:p w:rsidR="00D55C34" w:rsidRDefault="00D55C34" w:rsidP="000D3DD5">
      <w:pPr>
        <w:jc w:val="both"/>
        <w:rPr>
          <w:rFonts w:ascii="Kristen ITC" w:hAnsi="Kristen ITC"/>
          <w:sz w:val="24"/>
          <w:szCs w:val="24"/>
        </w:rPr>
      </w:pPr>
      <w:r>
        <w:rPr>
          <w:rFonts w:ascii="Kristen ITC" w:hAnsi="Kristen ITC"/>
          <w:sz w:val="24"/>
          <w:szCs w:val="24"/>
        </w:rPr>
        <w:t xml:space="preserve">La riorganizzazione in divenire necessità di tempi tecnici di assestamento anche in ordine alla precisa individuazione delle figure responsabili a livello di uffici, con conseguente necessità di un aggiornamento anche in termini di mappatura dei processi ed esatta attribuzione di competenze e responsabilità. </w:t>
      </w:r>
    </w:p>
    <w:p w:rsidR="000D0CD3" w:rsidRDefault="00D55C34" w:rsidP="000D3DD5">
      <w:pPr>
        <w:jc w:val="both"/>
        <w:rPr>
          <w:rFonts w:ascii="Kristen ITC" w:hAnsi="Kristen ITC"/>
          <w:sz w:val="24"/>
          <w:szCs w:val="24"/>
        </w:rPr>
      </w:pPr>
      <w:r>
        <w:rPr>
          <w:rFonts w:ascii="Kristen ITC" w:hAnsi="Kristen ITC"/>
          <w:sz w:val="24"/>
          <w:szCs w:val="24"/>
        </w:rPr>
        <w:t xml:space="preserve">Si ritiene pertanto di confermare, alla data del 31 gennaio il Piano in vigore, la cui attuazione è condizione di sicurezza per la prevenzione dei fenomeni corruttivi e per la tutela della legalità dell’azione dell’Ente, con possibilità di eventuale aggiornamento anche di impostazione e di semplificazione/adattamento alla specifica realtà locale nel corso dell’anno. </w:t>
      </w:r>
    </w:p>
    <w:p w:rsidR="00B934F9" w:rsidRDefault="000D0CD3" w:rsidP="000D3DD5">
      <w:pPr>
        <w:jc w:val="both"/>
        <w:rPr>
          <w:rFonts w:ascii="Kristen ITC" w:hAnsi="Kristen ITC"/>
          <w:sz w:val="24"/>
          <w:szCs w:val="24"/>
        </w:rPr>
      </w:pPr>
      <w:r>
        <w:rPr>
          <w:rFonts w:ascii="Kristen ITC" w:hAnsi="Kristen ITC"/>
          <w:sz w:val="24"/>
          <w:szCs w:val="24"/>
        </w:rPr>
        <w:lastRenderedPageBreak/>
        <w:t>Il nuovo Piano assume la denominazione e il contenuto di PTPCT piano triennale di prevenzione della corruzione e per la trasparenza</w:t>
      </w:r>
      <w:r w:rsidR="00B934F9">
        <w:rPr>
          <w:rFonts w:ascii="Kristen ITC" w:hAnsi="Kristen ITC"/>
          <w:sz w:val="24"/>
          <w:szCs w:val="24"/>
        </w:rPr>
        <w:t>. Il contenuto del Piano si arricchisce della seguente elaborazione valida per il triennio 2017 – 2019</w:t>
      </w:r>
    </w:p>
    <w:p w:rsidR="005470C8" w:rsidRDefault="005470C8" w:rsidP="00B934F9">
      <w:pPr>
        <w:jc w:val="center"/>
        <w:rPr>
          <w:rFonts w:ascii="Kristen ITC" w:hAnsi="Kristen ITC"/>
          <w:sz w:val="32"/>
          <w:szCs w:val="32"/>
          <w:u w:val="single"/>
        </w:rPr>
      </w:pPr>
    </w:p>
    <w:p w:rsidR="005470C8" w:rsidRDefault="005470C8" w:rsidP="00B934F9">
      <w:pPr>
        <w:jc w:val="center"/>
        <w:rPr>
          <w:rFonts w:ascii="Kristen ITC" w:hAnsi="Kristen ITC"/>
          <w:sz w:val="32"/>
          <w:szCs w:val="32"/>
          <w:u w:val="single"/>
        </w:rPr>
      </w:pPr>
    </w:p>
    <w:p w:rsidR="00EA2154" w:rsidRDefault="00EA2154" w:rsidP="00B934F9">
      <w:pPr>
        <w:jc w:val="center"/>
        <w:rPr>
          <w:rFonts w:ascii="Kristen ITC" w:hAnsi="Kristen ITC"/>
          <w:color w:val="00B050"/>
          <w:sz w:val="32"/>
          <w:szCs w:val="32"/>
          <w:u w:val="single"/>
        </w:rPr>
      </w:pPr>
    </w:p>
    <w:p w:rsidR="00EA2154" w:rsidRDefault="00EA2154" w:rsidP="00B934F9">
      <w:pPr>
        <w:jc w:val="center"/>
        <w:rPr>
          <w:rFonts w:ascii="Kristen ITC" w:hAnsi="Kristen ITC"/>
          <w:color w:val="00B050"/>
          <w:sz w:val="32"/>
          <w:szCs w:val="32"/>
          <w:u w:val="single"/>
        </w:rPr>
      </w:pPr>
    </w:p>
    <w:p w:rsidR="00EA2154" w:rsidRDefault="00EA2154" w:rsidP="00B934F9">
      <w:pPr>
        <w:jc w:val="center"/>
        <w:rPr>
          <w:rFonts w:ascii="Kristen ITC" w:hAnsi="Kristen ITC"/>
          <w:color w:val="00B050"/>
          <w:sz w:val="32"/>
          <w:szCs w:val="32"/>
          <w:u w:val="single"/>
        </w:rPr>
      </w:pPr>
    </w:p>
    <w:p w:rsidR="00EF5C7B" w:rsidRPr="00CF3E75" w:rsidRDefault="00B934F9" w:rsidP="00B934F9">
      <w:pPr>
        <w:jc w:val="center"/>
        <w:rPr>
          <w:rFonts w:ascii="Kristen ITC" w:hAnsi="Kristen ITC"/>
          <w:color w:val="00B050"/>
          <w:sz w:val="32"/>
          <w:szCs w:val="32"/>
          <w:u w:val="single"/>
        </w:rPr>
      </w:pPr>
      <w:r w:rsidRPr="00CF3E75">
        <w:rPr>
          <w:rFonts w:ascii="Kristen ITC" w:hAnsi="Kristen ITC"/>
          <w:color w:val="00B050"/>
          <w:sz w:val="32"/>
          <w:szCs w:val="32"/>
          <w:u w:val="single"/>
        </w:rPr>
        <w:t>ELABORAZIONE TRIENNIO 2017 – 2019</w:t>
      </w:r>
    </w:p>
    <w:p w:rsidR="00B934F9" w:rsidRDefault="00B934F9" w:rsidP="00B934F9">
      <w:pPr>
        <w:jc w:val="center"/>
        <w:rPr>
          <w:rFonts w:ascii="Kristen ITC" w:hAnsi="Kristen ITC"/>
          <w:sz w:val="32"/>
          <w:szCs w:val="32"/>
          <w:u w:val="single"/>
        </w:rPr>
      </w:pPr>
    </w:p>
    <w:p w:rsidR="00B934F9" w:rsidRPr="00CF3E75" w:rsidRDefault="00B934F9" w:rsidP="00B934F9">
      <w:pPr>
        <w:spacing w:after="0"/>
        <w:jc w:val="both"/>
        <w:rPr>
          <w:rFonts w:ascii="Kristen ITC" w:hAnsi="Kristen ITC"/>
          <w:color w:val="002060"/>
          <w:sz w:val="28"/>
          <w:szCs w:val="28"/>
          <w:u w:val="single"/>
        </w:rPr>
      </w:pPr>
      <w:r w:rsidRPr="00CF3E75">
        <w:rPr>
          <w:rFonts w:ascii="Kristen ITC" w:hAnsi="Kristen ITC"/>
          <w:color w:val="002060"/>
          <w:sz w:val="28"/>
          <w:szCs w:val="28"/>
          <w:u w:val="single"/>
        </w:rPr>
        <w:t>Indirizzi strategici</w:t>
      </w:r>
    </w:p>
    <w:p w:rsidR="00B934F9" w:rsidRPr="00A55B8B" w:rsidRDefault="00B934F9" w:rsidP="00B934F9">
      <w:pPr>
        <w:spacing w:after="0"/>
        <w:jc w:val="both"/>
        <w:rPr>
          <w:rFonts w:ascii="Kristen ITC" w:hAnsi="Kristen ITC"/>
          <w:sz w:val="24"/>
          <w:szCs w:val="24"/>
        </w:rPr>
      </w:pPr>
    </w:p>
    <w:p w:rsidR="00B934F9" w:rsidRPr="00A55B8B" w:rsidRDefault="00B934F9" w:rsidP="00B934F9">
      <w:pPr>
        <w:spacing w:after="0"/>
        <w:jc w:val="both"/>
        <w:rPr>
          <w:rFonts w:ascii="Kristen ITC" w:hAnsi="Kristen ITC"/>
          <w:sz w:val="24"/>
          <w:szCs w:val="24"/>
        </w:rPr>
      </w:pPr>
      <w:r w:rsidRPr="00A55B8B">
        <w:rPr>
          <w:rFonts w:ascii="Kristen ITC" w:hAnsi="Kristen ITC"/>
          <w:sz w:val="24"/>
          <w:szCs w:val="24"/>
        </w:rPr>
        <w:t>Con la Legge 6 novembre 2012, n. 190 recante Disposizioni per la prevenzione e la repressione della corruzione e dell’</w:t>
      </w:r>
      <w:proofErr w:type="spellStart"/>
      <w:r w:rsidRPr="00A55B8B">
        <w:rPr>
          <w:rFonts w:ascii="Kristen ITC" w:hAnsi="Kristen ITC"/>
          <w:sz w:val="24"/>
          <w:szCs w:val="24"/>
        </w:rPr>
        <w:t>illegalita</w:t>
      </w:r>
      <w:proofErr w:type="spellEnd"/>
      <w:r w:rsidRPr="00A55B8B">
        <w:rPr>
          <w:rFonts w:ascii="Kristen ITC" w:hAnsi="Kristen ITC"/>
          <w:sz w:val="24"/>
          <w:szCs w:val="24"/>
        </w:rPr>
        <w:t xml:space="preserve">̀ nella Pubblica Amministrazione, il nostro ordinamento ha codificato, accanto ai rischi già normati (come, ad es. rischio del  trattamento dati o il rischio per la salute sui luoghi di lavoro) un nuova, articolata, figura di  rischio correlato all’esercizio dell’attività amministrativa, sia che si tratti di attività procedimentale-pubblicistica  sia che si tratti di attività negoziale-privatistica. Tale nuova figura di rischio, caratterizzata da una doppia </w:t>
      </w:r>
      <w:proofErr w:type="gramStart"/>
      <w:r w:rsidRPr="00A55B8B">
        <w:rPr>
          <w:rFonts w:ascii="Kristen ITC" w:hAnsi="Kristen ITC"/>
          <w:sz w:val="24"/>
          <w:szCs w:val="24"/>
        </w:rPr>
        <w:t>articolazione,  è</w:t>
      </w:r>
      <w:proofErr w:type="gramEnd"/>
      <w:r w:rsidRPr="00A55B8B">
        <w:rPr>
          <w:rFonts w:ascii="Kristen ITC" w:hAnsi="Kristen ITC"/>
          <w:sz w:val="24"/>
          <w:szCs w:val="24"/>
        </w:rPr>
        <w:t xml:space="preserve">  costituita  dal “rischio corruzione” e “rischio illegalità”. La </w:t>
      </w:r>
      <w:proofErr w:type="gramStart"/>
      <w:r w:rsidRPr="00A55B8B">
        <w:rPr>
          <w:rFonts w:ascii="Kristen ITC" w:hAnsi="Kristen ITC"/>
          <w:sz w:val="24"/>
          <w:szCs w:val="24"/>
        </w:rPr>
        <w:t>corruzione  attiene</w:t>
      </w:r>
      <w:proofErr w:type="gramEnd"/>
      <w:r w:rsidRPr="00A55B8B">
        <w:rPr>
          <w:rFonts w:ascii="Kristen ITC" w:hAnsi="Kristen ITC"/>
          <w:sz w:val="24"/>
          <w:szCs w:val="24"/>
        </w:rPr>
        <w:t xml:space="preserve"> all’aspetto patologico dell’abuso  dell’agire amministrativo mentre l’illegalità è correlata al diverso e ulteriore profilo della irregolarità dell’attività amministrativa. A fronte della tipizzazione e </w:t>
      </w:r>
      <w:proofErr w:type="spellStart"/>
      <w:r w:rsidRPr="00A55B8B">
        <w:rPr>
          <w:rFonts w:ascii="Kristen ITC" w:hAnsi="Kristen ITC"/>
          <w:sz w:val="24"/>
          <w:szCs w:val="24"/>
        </w:rPr>
        <w:t>positivizzazione</w:t>
      </w:r>
      <w:proofErr w:type="spellEnd"/>
      <w:r w:rsidRPr="00A55B8B">
        <w:rPr>
          <w:rFonts w:ascii="Kristen ITC" w:hAnsi="Kristen ITC"/>
          <w:sz w:val="24"/>
          <w:szCs w:val="24"/>
        </w:rPr>
        <w:t xml:space="preserve"> normativa di tali rischi, tutte le pubbliche amministrazioni sono obbligate </w:t>
      </w:r>
      <w:proofErr w:type="gramStart"/>
      <w:r w:rsidRPr="00A55B8B">
        <w:rPr>
          <w:rFonts w:ascii="Kristen ITC" w:hAnsi="Kristen ITC"/>
          <w:sz w:val="24"/>
          <w:szCs w:val="24"/>
        </w:rPr>
        <w:t>a  porre</w:t>
      </w:r>
      <w:proofErr w:type="gramEnd"/>
      <w:r w:rsidRPr="00A55B8B">
        <w:rPr>
          <w:rFonts w:ascii="Kristen ITC" w:hAnsi="Kristen ITC"/>
          <w:sz w:val="24"/>
          <w:szCs w:val="24"/>
        </w:rPr>
        <w:t xml:space="preserve"> in essere una seria e rigorosa politica di prevenzione, rilevando  la consistenza  dei rischi corruzione e illegalità, provvedendo alla relativa gestione con appropriate misure e azioni al fine di conseguire l’obiettivo  di  riduzione e abbattimento del livello dei rischi.  Ciò premesso, per quanto concerne il profilo specifico della </w:t>
      </w:r>
      <w:proofErr w:type="gramStart"/>
      <w:r w:rsidRPr="00A55B8B">
        <w:rPr>
          <w:rFonts w:ascii="Kristen ITC" w:hAnsi="Kristen ITC"/>
          <w:sz w:val="24"/>
          <w:szCs w:val="24"/>
        </w:rPr>
        <w:t>“ corruzione</w:t>
      </w:r>
      <w:proofErr w:type="gramEnd"/>
      <w:r w:rsidRPr="00A55B8B">
        <w:rPr>
          <w:rFonts w:ascii="Kristen ITC" w:hAnsi="Kristen ITC"/>
          <w:sz w:val="24"/>
          <w:szCs w:val="24"/>
        </w:rPr>
        <w:t xml:space="preserve">”, costituisce obiettivo strategico dell’amministrazione la riduzione del livello del rischio di corruzione  all’interno della struttura organizzativa dell’ente, e nell’ambito dell’attività da questo posta in essere. Per quanto </w:t>
      </w:r>
      <w:proofErr w:type="gramStart"/>
      <w:r w:rsidRPr="00A55B8B">
        <w:rPr>
          <w:rFonts w:ascii="Kristen ITC" w:hAnsi="Kristen ITC"/>
          <w:sz w:val="24"/>
          <w:szCs w:val="24"/>
        </w:rPr>
        <w:t>concerne  il</w:t>
      </w:r>
      <w:proofErr w:type="gramEnd"/>
      <w:r w:rsidRPr="00A55B8B">
        <w:rPr>
          <w:rFonts w:ascii="Kristen ITC" w:hAnsi="Kristen ITC"/>
          <w:sz w:val="24"/>
          <w:szCs w:val="24"/>
        </w:rPr>
        <w:t xml:space="preserve"> profilo </w:t>
      </w:r>
      <w:r w:rsidRPr="00A55B8B">
        <w:rPr>
          <w:rFonts w:ascii="Kristen ITC" w:hAnsi="Kristen ITC"/>
          <w:sz w:val="24"/>
          <w:szCs w:val="24"/>
        </w:rPr>
        <w:lastRenderedPageBreak/>
        <w:t xml:space="preserve">della illegalità, in attuazione dell’art. 97 </w:t>
      </w:r>
      <w:proofErr w:type="spellStart"/>
      <w:r w:rsidRPr="00A55B8B">
        <w:rPr>
          <w:rFonts w:ascii="Kristen ITC" w:hAnsi="Kristen ITC"/>
          <w:sz w:val="24"/>
          <w:szCs w:val="24"/>
        </w:rPr>
        <w:t>Cost</w:t>
      </w:r>
      <w:proofErr w:type="spellEnd"/>
      <w:r w:rsidRPr="00A55B8B">
        <w:rPr>
          <w:rFonts w:ascii="Kristen ITC" w:hAnsi="Kristen ITC"/>
          <w:sz w:val="24"/>
          <w:szCs w:val="24"/>
        </w:rPr>
        <w:t xml:space="preserve">. </w:t>
      </w:r>
      <w:proofErr w:type="gramStart"/>
      <w:r w:rsidRPr="00A55B8B">
        <w:rPr>
          <w:rFonts w:ascii="Kristen ITC" w:hAnsi="Kristen ITC"/>
          <w:sz w:val="24"/>
          <w:szCs w:val="24"/>
        </w:rPr>
        <w:t>e</w:t>
      </w:r>
      <w:proofErr w:type="gramEnd"/>
      <w:r w:rsidRPr="00A55B8B">
        <w:rPr>
          <w:rFonts w:ascii="Kristen ITC" w:hAnsi="Kristen ITC"/>
          <w:sz w:val="24"/>
          <w:szCs w:val="24"/>
        </w:rPr>
        <w:t xml:space="preserve"> della Legge 6 novembre 2012, n. 190, tutte le amministrazioni individuano strumenti  e  metodologie  per  garantire la legittimità,   la   regolarità   e   la   correttezza   dell'azione amministrativa.  Il rischio di </w:t>
      </w:r>
      <w:proofErr w:type="gramStart"/>
      <w:r w:rsidRPr="00A55B8B">
        <w:rPr>
          <w:rFonts w:ascii="Kristen ITC" w:hAnsi="Kristen ITC"/>
          <w:sz w:val="24"/>
          <w:szCs w:val="24"/>
        </w:rPr>
        <w:t>illegalità  attiene</w:t>
      </w:r>
      <w:proofErr w:type="gramEnd"/>
      <w:r w:rsidRPr="00A55B8B">
        <w:rPr>
          <w:rFonts w:ascii="Kristen ITC" w:hAnsi="Kristen ITC"/>
          <w:sz w:val="24"/>
          <w:szCs w:val="24"/>
        </w:rPr>
        <w:t xml:space="preserve"> alla mancanza non solo di legittimità, intesa come violazione di legge, incompetenza o eccesso di potere,  ma anche alla mancanza di  regolarità  e correttezza.   Il sistema dei controlli interni e, soprattutto, il controllo successivo di regolarità amministrativa, funzionali a garantire la legalità dell’agire amministrativo è stato affiancato, a partire dall’entrata in vigore della citata Legge n. 190 del </w:t>
      </w:r>
      <w:proofErr w:type="gramStart"/>
      <w:r w:rsidRPr="00A55B8B">
        <w:rPr>
          <w:rFonts w:ascii="Kristen ITC" w:hAnsi="Kristen ITC"/>
          <w:sz w:val="24"/>
          <w:szCs w:val="24"/>
        </w:rPr>
        <w:t>2012 ,</w:t>
      </w:r>
      <w:proofErr w:type="gramEnd"/>
      <w:r w:rsidRPr="00A55B8B">
        <w:rPr>
          <w:rFonts w:ascii="Kristen ITC" w:hAnsi="Kristen ITC"/>
          <w:sz w:val="24"/>
          <w:szCs w:val="24"/>
        </w:rPr>
        <w:t xml:space="preserve"> da ulteriori strumenti  di prevenzione dell’illegalità.  Tra questi, </w:t>
      </w:r>
      <w:proofErr w:type="gramStart"/>
      <w:r w:rsidRPr="00A55B8B">
        <w:rPr>
          <w:rFonts w:ascii="Kristen ITC" w:hAnsi="Kristen ITC"/>
          <w:sz w:val="24"/>
          <w:szCs w:val="24"/>
        </w:rPr>
        <w:t>il  forte</w:t>
      </w:r>
      <w:proofErr w:type="gramEnd"/>
      <w:r w:rsidRPr="00A55B8B">
        <w:rPr>
          <w:rFonts w:ascii="Kristen ITC" w:hAnsi="Kristen ITC"/>
          <w:sz w:val="24"/>
          <w:szCs w:val="24"/>
        </w:rPr>
        <w:t xml:space="preserve"> potenziamento dell’istituto, già previsto dal </w:t>
      </w:r>
      <w:proofErr w:type="spellStart"/>
      <w:r w:rsidRPr="00A55B8B">
        <w:rPr>
          <w:rFonts w:ascii="Kristen ITC" w:hAnsi="Kristen ITC"/>
          <w:sz w:val="24"/>
          <w:szCs w:val="24"/>
        </w:rPr>
        <w:t>D.Lgs.</w:t>
      </w:r>
      <w:proofErr w:type="spellEnd"/>
      <w:r w:rsidRPr="00A55B8B">
        <w:rPr>
          <w:rFonts w:ascii="Kristen ITC" w:hAnsi="Kristen ITC"/>
          <w:sz w:val="24"/>
          <w:szCs w:val="24"/>
        </w:rPr>
        <w:t xml:space="preserve"> 150 del 2009, della trasparenza </w:t>
      </w:r>
      <w:proofErr w:type="gramStart"/>
      <w:r w:rsidRPr="00A55B8B">
        <w:rPr>
          <w:rFonts w:ascii="Kristen ITC" w:hAnsi="Kristen ITC"/>
          <w:sz w:val="24"/>
          <w:szCs w:val="24"/>
        </w:rPr>
        <w:t>con  l’introduzione</w:t>
      </w:r>
      <w:proofErr w:type="gramEnd"/>
      <w:r w:rsidRPr="00A55B8B">
        <w:rPr>
          <w:rFonts w:ascii="Kristen ITC" w:hAnsi="Kristen ITC"/>
          <w:sz w:val="24"/>
          <w:szCs w:val="24"/>
        </w:rPr>
        <w:t xml:space="preserve"> di un principio generale di trasparenza presidiato dalla tipizzazione del nuovo diritto di “accesso civico”.</w:t>
      </w:r>
    </w:p>
    <w:p w:rsidR="00B934F9" w:rsidRPr="00A55B8B" w:rsidRDefault="00B934F9" w:rsidP="00B934F9">
      <w:pPr>
        <w:spacing w:after="0"/>
        <w:jc w:val="both"/>
        <w:rPr>
          <w:rFonts w:ascii="Kristen ITC" w:hAnsi="Kristen ITC"/>
          <w:sz w:val="24"/>
          <w:szCs w:val="24"/>
        </w:rPr>
      </w:pPr>
      <w:r w:rsidRPr="00A55B8B">
        <w:rPr>
          <w:rFonts w:ascii="Kristen ITC" w:hAnsi="Kristen ITC"/>
          <w:sz w:val="24"/>
          <w:szCs w:val="24"/>
        </w:rPr>
        <w:t xml:space="preserve">Nel contempo, la riduzione del rischio di illegalità </w:t>
      </w:r>
      <w:proofErr w:type="gramStart"/>
      <w:r w:rsidRPr="00A55B8B">
        <w:rPr>
          <w:rFonts w:ascii="Kristen ITC" w:hAnsi="Kristen ITC"/>
          <w:sz w:val="24"/>
          <w:szCs w:val="24"/>
        </w:rPr>
        <w:t>presuppone  che</w:t>
      </w:r>
      <w:proofErr w:type="gramEnd"/>
      <w:r w:rsidRPr="00A55B8B">
        <w:rPr>
          <w:rFonts w:ascii="Kristen ITC" w:hAnsi="Kristen ITC"/>
          <w:sz w:val="24"/>
          <w:szCs w:val="24"/>
        </w:rPr>
        <w:t>:</w:t>
      </w:r>
    </w:p>
    <w:p w:rsidR="00B934F9" w:rsidRPr="00A55B8B" w:rsidRDefault="00B934F9" w:rsidP="00B934F9">
      <w:pPr>
        <w:spacing w:after="0"/>
        <w:jc w:val="both"/>
        <w:rPr>
          <w:rFonts w:ascii="Kristen ITC" w:hAnsi="Kristen ITC"/>
          <w:sz w:val="24"/>
          <w:szCs w:val="24"/>
        </w:rPr>
      </w:pPr>
      <w:proofErr w:type="gramStart"/>
      <w:r w:rsidRPr="00A55B8B">
        <w:rPr>
          <w:rFonts w:ascii="Kristen ITC" w:hAnsi="Kristen ITC"/>
          <w:sz w:val="24"/>
          <w:szCs w:val="24"/>
        </w:rPr>
        <w:t>venga</w:t>
      </w:r>
      <w:proofErr w:type="gramEnd"/>
      <w:r w:rsidRPr="00A55B8B">
        <w:rPr>
          <w:rFonts w:ascii="Kristen ITC" w:hAnsi="Kristen ITC"/>
          <w:sz w:val="24"/>
          <w:szCs w:val="24"/>
        </w:rPr>
        <w:t xml:space="preserve"> reso effettivo il collegamento tra il sistema di prevenzione  del P.T.P.C. e P.T.T. e il sistema del controllo successivo di regolarità, anche mediante l’utilizzo  degli esiti del controllo successivo per la strutturazione delle misure e azioni di prevenzione</w:t>
      </w:r>
    </w:p>
    <w:p w:rsidR="00B934F9" w:rsidRPr="00A55B8B" w:rsidRDefault="00B934F9" w:rsidP="00B934F9">
      <w:pPr>
        <w:jc w:val="both"/>
        <w:rPr>
          <w:rFonts w:ascii="Kristen ITC" w:hAnsi="Kristen ITC"/>
          <w:sz w:val="24"/>
          <w:szCs w:val="24"/>
        </w:rPr>
      </w:pPr>
      <w:r w:rsidRPr="00A55B8B">
        <w:rPr>
          <w:rFonts w:ascii="Kristen ITC" w:hAnsi="Kristen ITC"/>
          <w:sz w:val="24"/>
          <w:szCs w:val="24"/>
        </w:rPr>
        <w:t xml:space="preserve">La riduzione del rischio di illegalità </w:t>
      </w:r>
      <w:proofErr w:type="gramStart"/>
      <w:r w:rsidRPr="00A55B8B">
        <w:rPr>
          <w:rFonts w:ascii="Kristen ITC" w:hAnsi="Kristen ITC"/>
          <w:sz w:val="24"/>
          <w:szCs w:val="24"/>
        </w:rPr>
        <w:t>presuppone  altresì</w:t>
      </w:r>
      <w:proofErr w:type="gramEnd"/>
      <w:r w:rsidRPr="00A55B8B">
        <w:rPr>
          <w:rFonts w:ascii="Kristen ITC" w:hAnsi="Kristen ITC"/>
          <w:sz w:val="24"/>
          <w:szCs w:val="24"/>
        </w:rPr>
        <w:t xml:space="preserve"> l’effettività di attuazione delle regole di comportamento contenute nel DPR 62/2013 e nel Codice di comportamento decentrato dell’Ente, in stretto collegamento con il sistema sanzionatorio ivi previsto per i casi di inosservanza</w:t>
      </w:r>
    </w:p>
    <w:p w:rsidR="00B934F9" w:rsidRPr="00CF3E75" w:rsidRDefault="00B934F9" w:rsidP="00B934F9">
      <w:pPr>
        <w:jc w:val="both"/>
        <w:rPr>
          <w:rFonts w:ascii="Kristen ITC" w:hAnsi="Kristen ITC"/>
          <w:color w:val="002060"/>
          <w:sz w:val="28"/>
          <w:szCs w:val="28"/>
          <w:u w:val="single"/>
        </w:rPr>
      </w:pPr>
      <w:r w:rsidRPr="00CF3E75">
        <w:rPr>
          <w:rFonts w:ascii="Kristen ITC" w:hAnsi="Kristen ITC"/>
          <w:color w:val="002060"/>
          <w:sz w:val="28"/>
          <w:szCs w:val="28"/>
          <w:u w:val="single"/>
        </w:rPr>
        <w:t xml:space="preserve">Obiettivi strategici </w:t>
      </w:r>
    </w:p>
    <w:p w:rsidR="00B934F9" w:rsidRPr="00A55B8B" w:rsidRDefault="00B934F9" w:rsidP="00B934F9">
      <w:pPr>
        <w:spacing w:after="0"/>
        <w:jc w:val="both"/>
        <w:rPr>
          <w:rFonts w:ascii="Kristen ITC" w:hAnsi="Kristen ITC"/>
          <w:b/>
          <w:sz w:val="24"/>
          <w:szCs w:val="24"/>
        </w:rPr>
      </w:pPr>
      <w:r w:rsidRPr="00A55B8B">
        <w:rPr>
          <w:rFonts w:ascii="Kristen ITC" w:hAnsi="Kristen ITC"/>
          <w:b/>
          <w:sz w:val="24"/>
          <w:szCs w:val="24"/>
        </w:rPr>
        <w:t xml:space="preserve">Prevenire la corruzione e l'illegalità all'interno dell'amministrazione </w:t>
      </w:r>
    </w:p>
    <w:p w:rsidR="00B934F9" w:rsidRPr="00A55B8B" w:rsidRDefault="00B934F9" w:rsidP="00B934F9">
      <w:pPr>
        <w:jc w:val="both"/>
        <w:rPr>
          <w:rFonts w:ascii="Kristen ITC" w:hAnsi="Kristen ITC"/>
          <w:sz w:val="24"/>
          <w:szCs w:val="24"/>
        </w:rPr>
      </w:pPr>
      <w:r w:rsidRPr="00A55B8B">
        <w:rPr>
          <w:rFonts w:ascii="Kristen ITC" w:hAnsi="Kristen ITC"/>
          <w:sz w:val="24"/>
          <w:szCs w:val="24"/>
        </w:rPr>
        <w:t>L'obiettivo in esame è contenuto nel PTPC 2016-2018.  L'introduzione, dal 2012, di una normativa (Legge 6 novembre 2012, n. 190</w:t>
      </w:r>
      <w:proofErr w:type="gramStart"/>
      <w:r w:rsidRPr="00A55B8B">
        <w:rPr>
          <w:rFonts w:ascii="Kristen ITC" w:hAnsi="Kristen ITC"/>
          <w:sz w:val="24"/>
          <w:szCs w:val="24"/>
        </w:rPr>
        <w:t>)  volta</w:t>
      </w:r>
      <w:proofErr w:type="gramEnd"/>
      <w:r w:rsidRPr="00A55B8B">
        <w:rPr>
          <w:rFonts w:ascii="Kristen ITC" w:hAnsi="Kristen ITC"/>
          <w:sz w:val="24"/>
          <w:szCs w:val="24"/>
        </w:rPr>
        <w:t xml:space="preserve"> a prevenire fenomeni di corruzione e di illegalità  all'interno delle pubbliche amministrazioni ha profondamente inciso sulla  conformazione delle amministrazioni, con immediati riflessi anche di natura organizzativa. L'impatto della normativa in esame è tale da richiedere una rivisitazione, anche di natura culturale, dell'approccio all'agire amministrativo, al fine di garantire il buon andamento ed imparzialità dell'attività amministrativa. In questo contesto la prevenzione della </w:t>
      </w:r>
      <w:proofErr w:type="gramStart"/>
      <w:r w:rsidRPr="00A55B8B">
        <w:rPr>
          <w:rFonts w:ascii="Kristen ITC" w:hAnsi="Kristen ITC"/>
          <w:sz w:val="24"/>
          <w:szCs w:val="24"/>
        </w:rPr>
        <w:t>corruzione  e</w:t>
      </w:r>
      <w:proofErr w:type="gramEnd"/>
      <w:r w:rsidRPr="00A55B8B">
        <w:rPr>
          <w:rFonts w:ascii="Kristen ITC" w:hAnsi="Kristen ITC"/>
          <w:sz w:val="24"/>
          <w:szCs w:val="24"/>
        </w:rPr>
        <w:t xml:space="preserve"> dell'illegalità costituisce un obiet</w:t>
      </w:r>
      <w:r>
        <w:rPr>
          <w:rFonts w:ascii="Kristen ITC" w:hAnsi="Kristen ITC"/>
          <w:sz w:val="24"/>
          <w:szCs w:val="24"/>
        </w:rPr>
        <w:t xml:space="preserve">tivo strategico </w:t>
      </w:r>
      <w:r w:rsidRPr="00A55B8B">
        <w:rPr>
          <w:rFonts w:ascii="Kristen ITC" w:hAnsi="Kristen ITC"/>
          <w:sz w:val="24"/>
          <w:szCs w:val="24"/>
        </w:rPr>
        <w:t xml:space="preserve"> che investe l'intera struttura organizzativa e tutti i processi decisionali dell'ente, attraverso  l'elaborazione e l'attuazione di misure di prevenzione indicate nel PTPC</w:t>
      </w:r>
      <w:r>
        <w:rPr>
          <w:rFonts w:ascii="Kristen ITC" w:hAnsi="Kristen ITC"/>
          <w:sz w:val="24"/>
          <w:szCs w:val="24"/>
        </w:rPr>
        <w:t>T 2017-2019</w:t>
      </w:r>
    </w:p>
    <w:p w:rsidR="00B934F9" w:rsidRPr="00A55B8B" w:rsidRDefault="00B934F9" w:rsidP="00B934F9">
      <w:pPr>
        <w:spacing w:after="0"/>
        <w:jc w:val="both"/>
        <w:rPr>
          <w:rFonts w:ascii="Kristen ITC" w:hAnsi="Kristen ITC"/>
          <w:b/>
          <w:sz w:val="24"/>
          <w:szCs w:val="24"/>
        </w:rPr>
      </w:pPr>
      <w:r w:rsidRPr="00A55B8B">
        <w:rPr>
          <w:rFonts w:ascii="Kristen ITC" w:hAnsi="Kristen ITC"/>
          <w:b/>
          <w:sz w:val="24"/>
          <w:szCs w:val="24"/>
        </w:rPr>
        <w:t>Garantire la trasparenza e l'integrità</w:t>
      </w:r>
    </w:p>
    <w:p w:rsidR="00B934F9" w:rsidRPr="00A55B8B" w:rsidRDefault="00B934F9" w:rsidP="00B934F9">
      <w:pPr>
        <w:jc w:val="both"/>
        <w:rPr>
          <w:rFonts w:ascii="Kristen ITC" w:hAnsi="Kristen ITC"/>
          <w:sz w:val="24"/>
          <w:szCs w:val="24"/>
        </w:rPr>
      </w:pPr>
      <w:r w:rsidRPr="00A55B8B">
        <w:rPr>
          <w:rFonts w:ascii="Kristen ITC" w:hAnsi="Kristen ITC"/>
          <w:sz w:val="24"/>
          <w:szCs w:val="24"/>
        </w:rPr>
        <w:lastRenderedPageBreak/>
        <w:t>L'obiettivo in esame è contenuto nel PTPC</w:t>
      </w:r>
      <w:r>
        <w:rPr>
          <w:rFonts w:ascii="Kristen ITC" w:hAnsi="Kristen ITC"/>
          <w:sz w:val="24"/>
          <w:szCs w:val="24"/>
        </w:rPr>
        <w:t>T 2017-2019</w:t>
      </w:r>
      <w:r w:rsidRPr="00A55B8B">
        <w:rPr>
          <w:rFonts w:ascii="Kristen ITC" w:hAnsi="Kristen ITC"/>
          <w:sz w:val="24"/>
          <w:szCs w:val="24"/>
        </w:rPr>
        <w:t>. In considerazione della valenza del principio generale di trasparenza, per come illustrata negli indirizzi strategici in correlazione con il profilo dell’integrità dell'azione amministrativa, l'amministrazione intende elevare nell'attuale livello della trasparenza per raggiungere, nel triennio di programmazione, un livello massimo di trasparenza.</w:t>
      </w:r>
    </w:p>
    <w:p w:rsidR="00B934F9" w:rsidRPr="00A55B8B" w:rsidRDefault="00B934F9" w:rsidP="00B934F9">
      <w:pPr>
        <w:jc w:val="both"/>
        <w:rPr>
          <w:rFonts w:ascii="Kristen ITC" w:hAnsi="Kristen ITC"/>
          <w:sz w:val="24"/>
          <w:szCs w:val="24"/>
        </w:rPr>
      </w:pPr>
    </w:p>
    <w:p w:rsidR="00B934F9" w:rsidRPr="00A55B8B" w:rsidRDefault="00B934F9" w:rsidP="00B934F9">
      <w:pPr>
        <w:spacing w:after="0"/>
        <w:jc w:val="both"/>
        <w:rPr>
          <w:rFonts w:ascii="Kristen ITC" w:hAnsi="Kristen ITC"/>
          <w:b/>
          <w:sz w:val="24"/>
          <w:szCs w:val="24"/>
        </w:rPr>
      </w:pPr>
      <w:r w:rsidRPr="00A55B8B">
        <w:rPr>
          <w:rFonts w:ascii="Kristen ITC" w:hAnsi="Kristen ITC"/>
          <w:b/>
          <w:sz w:val="24"/>
          <w:szCs w:val="24"/>
        </w:rPr>
        <w:t xml:space="preserve">Promuovere e favorire la ridurre del rischio </w:t>
      </w:r>
      <w:proofErr w:type="gramStart"/>
      <w:r w:rsidRPr="00A55B8B">
        <w:rPr>
          <w:rFonts w:ascii="Kristen ITC" w:hAnsi="Kristen ITC"/>
          <w:b/>
          <w:sz w:val="24"/>
          <w:szCs w:val="24"/>
        </w:rPr>
        <w:t>di  corruzione</w:t>
      </w:r>
      <w:proofErr w:type="gramEnd"/>
      <w:r w:rsidRPr="00A55B8B">
        <w:rPr>
          <w:rFonts w:ascii="Kristen ITC" w:hAnsi="Kristen ITC"/>
          <w:b/>
          <w:sz w:val="24"/>
          <w:szCs w:val="24"/>
        </w:rPr>
        <w:t xml:space="preserve"> e di illegalità nelle società  e organismi partecipati </w:t>
      </w:r>
    </w:p>
    <w:p w:rsidR="00B934F9" w:rsidRDefault="00B934F9" w:rsidP="00B934F9">
      <w:pPr>
        <w:widowControl w:val="0"/>
        <w:autoSpaceDE w:val="0"/>
        <w:autoSpaceDN w:val="0"/>
        <w:adjustRightInd w:val="0"/>
        <w:spacing w:after="240"/>
        <w:jc w:val="both"/>
        <w:rPr>
          <w:rFonts w:ascii="Kristen ITC" w:hAnsi="Kristen ITC"/>
          <w:sz w:val="24"/>
          <w:szCs w:val="24"/>
        </w:rPr>
      </w:pPr>
      <w:r w:rsidRPr="00A55B8B">
        <w:rPr>
          <w:rFonts w:ascii="Kristen ITC" w:hAnsi="Kristen ITC"/>
          <w:sz w:val="24"/>
          <w:szCs w:val="24"/>
        </w:rPr>
        <w:t xml:space="preserve">In attuazione della Legge 6 novembre 2012, n. 190, del </w:t>
      </w:r>
      <w:proofErr w:type="spellStart"/>
      <w:r w:rsidRPr="00A55B8B">
        <w:rPr>
          <w:rFonts w:ascii="Kristen ITC" w:hAnsi="Kristen ITC"/>
          <w:sz w:val="24"/>
          <w:szCs w:val="24"/>
        </w:rPr>
        <w:t>D.Lgs</w:t>
      </w:r>
      <w:proofErr w:type="spellEnd"/>
      <w:r w:rsidRPr="00A55B8B">
        <w:rPr>
          <w:rFonts w:ascii="Kristen ITC" w:hAnsi="Kristen ITC"/>
          <w:sz w:val="24"/>
          <w:szCs w:val="24"/>
        </w:rPr>
        <w:t xml:space="preserve"> 14 marzo  2013 n.33  e  della Determinazione n. 8 del 17 giugno 2015,  contenente le «</w:t>
      </w:r>
      <w:r w:rsidRPr="00A55B8B">
        <w:rPr>
          <w:rFonts w:ascii="Kristen ITC" w:hAnsi="Kristen ITC"/>
          <w:i/>
          <w:sz w:val="24"/>
          <w:szCs w:val="24"/>
        </w:rPr>
        <w:t>Linee guida per l’attuazione della normativa in materia di prevenzione della corruzione e trasparenza da parte delle</w:t>
      </w:r>
      <w:r w:rsidRPr="00A55B8B">
        <w:rPr>
          <w:rFonts w:ascii="Kristen ITC" w:hAnsi="Kristen ITC"/>
          <w:sz w:val="24"/>
          <w:szCs w:val="24"/>
        </w:rPr>
        <w:t xml:space="preserve"> </w:t>
      </w:r>
      <w:proofErr w:type="spellStart"/>
      <w:r w:rsidRPr="00A55B8B">
        <w:rPr>
          <w:rFonts w:ascii="Kristen ITC" w:hAnsi="Kristen ITC"/>
          <w:i/>
          <w:sz w:val="24"/>
          <w:szCs w:val="24"/>
        </w:rPr>
        <w:t>societa</w:t>
      </w:r>
      <w:proofErr w:type="spellEnd"/>
      <w:r w:rsidRPr="00A55B8B">
        <w:rPr>
          <w:rFonts w:ascii="Kristen ITC" w:hAnsi="Kristen ITC"/>
          <w:i/>
          <w:sz w:val="24"/>
          <w:szCs w:val="24"/>
        </w:rPr>
        <w:t>̀ e degli enti di diritto privato controllati e partecipati dalle pubbliche amministrazioni e degli enti pubblici economici</w:t>
      </w:r>
      <w:r w:rsidRPr="00A55B8B">
        <w:rPr>
          <w:rFonts w:ascii="Kristen ITC" w:hAnsi="Kristen ITC"/>
          <w:sz w:val="24"/>
          <w:szCs w:val="24"/>
        </w:rPr>
        <w:t xml:space="preserve">»,  l’applicazione della normativa in materia di prevenzione della corruzione e trasparenza di cui alla legge n. 190/2012 va assicurata anche negli enti di diritto privato controllati e partecipati, direttamente e indirettamente, da pubbliche amministrazioni e dagli enti pubblici economici, secondo le linee guida diramate dall’Autorità. </w:t>
      </w:r>
    </w:p>
    <w:p w:rsidR="0073590E" w:rsidRDefault="0073590E" w:rsidP="004F1C34">
      <w:pPr>
        <w:widowControl w:val="0"/>
        <w:autoSpaceDE w:val="0"/>
        <w:autoSpaceDN w:val="0"/>
        <w:adjustRightInd w:val="0"/>
        <w:spacing w:after="240"/>
        <w:jc w:val="both"/>
        <w:rPr>
          <w:rFonts w:ascii="Kristen ITC" w:hAnsi="Kristen ITC"/>
          <w:b/>
          <w:sz w:val="24"/>
          <w:szCs w:val="24"/>
          <w:u w:val="single"/>
        </w:rPr>
      </w:pPr>
    </w:p>
    <w:p w:rsidR="0073590E" w:rsidRDefault="0073590E" w:rsidP="004F1C34">
      <w:pPr>
        <w:widowControl w:val="0"/>
        <w:autoSpaceDE w:val="0"/>
        <w:autoSpaceDN w:val="0"/>
        <w:adjustRightInd w:val="0"/>
        <w:spacing w:after="240"/>
        <w:jc w:val="both"/>
        <w:rPr>
          <w:rFonts w:ascii="Kristen ITC" w:hAnsi="Kristen ITC"/>
          <w:b/>
          <w:sz w:val="24"/>
          <w:szCs w:val="24"/>
          <w:u w:val="single"/>
        </w:rPr>
      </w:pPr>
    </w:p>
    <w:p w:rsidR="0073590E" w:rsidRDefault="0073590E" w:rsidP="004F1C34">
      <w:pPr>
        <w:widowControl w:val="0"/>
        <w:autoSpaceDE w:val="0"/>
        <w:autoSpaceDN w:val="0"/>
        <w:adjustRightInd w:val="0"/>
        <w:spacing w:after="240"/>
        <w:jc w:val="both"/>
        <w:rPr>
          <w:rFonts w:ascii="Kristen ITC" w:hAnsi="Kristen ITC"/>
          <w:b/>
          <w:sz w:val="24"/>
          <w:szCs w:val="24"/>
          <w:u w:val="single"/>
        </w:rPr>
      </w:pPr>
    </w:p>
    <w:p w:rsidR="00AD34AC" w:rsidRDefault="00AD34AC" w:rsidP="004F1C34">
      <w:pPr>
        <w:widowControl w:val="0"/>
        <w:autoSpaceDE w:val="0"/>
        <w:autoSpaceDN w:val="0"/>
        <w:adjustRightInd w:val="0"/>
        <w:spacing w:after="240"/>
        <w:jc w:val="both"/>
        <w:rPr>
          <w:rFonts w:ascii="Kristen ITC" w:hAnsi="Kristen ITC"/>
          <w:b/>
          <w:sz w:val="24"/>
          <w:szCs w:val="24"/>
          <w:u w:val="single"/>
        </w:rPr>
      </w:pPr>
    </w:p>
    <w:p w:rsidR="004F1C34" w:rsidRPr="00D11A23" w:rsidRDefault="0073590E" w:rsidP="004F1C34">
      <w:pPr>
        <w:widowControl w:val="0"/>
        <w:autoSpaceDE w:val="0"/>
        <w:autoSpaceDN w:val="0"/>
        <w:adjustRightInd w:val="0"/>
        <w:spacing w:after="240"/>
        <w:jc w:val="both"/>
        <w:rPr>
          <w:rFonts w:ascii="Kristen ITC" w:hAnsi="Kristen ITC"/>
          <w:b/>
          <w:sz w:val="24"/>
          <w:szCs w:val="24"/>
        </w:rPr>
      </w:pPr>
      <w:proofErr w:type="gramStart"/>
      <w:r>
        <w:rPr>
          <w:rFonts w:ascii="Kristen ITC" w:hAnsi="Kristen ITC"/>
          <w:b/>
          <w:sz w:val="24"/>
          <w:szCs w:val="24"/>
          <w:u w:val="single"/>
        </w:rPr>
        <w:t>OBBLIGHI  DI</w:t>
      </w:r>
      <w:proofErr w:type="gramEnd"/>
      <w:r>
        <w:rPr>
          <w:rFonts w:ascii="Kristen ITC" w:hAnsi="Kristen ITC"/>
          <w:b/>
          <w:sz w:val="24"/>
          <w:szCs w:val="24"/>
          <w:u w:val="single"/>
        </w:rPr>
        <w:t xml:space="preserve"> PUBLICITA’  </w:t>
      </w:r>
      <w:r w:rsidR="004F1C34">
        <w:rPr>
          <w:rFonts w:ascii="Kristen ITC" w:hAnsi="Kristen ITC"/>
          <w:sz w:val="24"/>
          <w:szCs w:val="24"/>
        </w:rPr>
        <w:t xml:space="preserve">: si riproduce la </w:t>
      </w:r>
      <w:r w:rsidR="004F1C34" w:rsidRPr="00D11A23">
        <w:rPr>
          <w:rFonts w:ascii="Kristen ITC" w:hAnsi="Kristen ITC"/>
          <w:b/>
          <w:sz w:val="24"/>
          <w:szCs w:val="24"/>
        </w:rPr>
        <w:t>Deliberazione ANAC n. 1310 del 28 dicembre 2016:</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1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lastRenderedPageBreak/>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VISTO il decreto legislativo 25 maggio 2016, n. 97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CONSIDERATO che a fronte delle modifiche apportate dal d.lgs. 97/2016 agli obblighi di trasparenza del d.lgs. 33/2013, nel Piano nazionale anticorruzione 2016 (§ 7.1 Trasparenza) l’Autorità si è riservata di intervenire con apposite Linee guida, integrative del PNA, con le quali operare una generale ricognizione dell’ambito soggettivo e oggettivo degli obblighi di trasparenza delle pubbliche amministrazioni.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VISTA la deliberazione del Consiglio dell’Autorità del 23 novembre 2016 con cui è stato approvato in via preliminare lo schema di Linee guida e disposta la consultazione pubblica per il periodo 25.11.2016 - 14.12.2016.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VALUTATE le osservazioni e i contributi pervenuti;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IL CONSIGLIO DELL’AUTORITÀ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Nell’adunanza del 28 dicembre 2016 approva in via definitiva la delibera n. 1310 «Prime linee guida recanti indicazioni sull’attuazione degli obblighi di pubblicità, trasparenza e diffusione di informazioni contenute nel d.lgs. 33/2013 come modificato dal d.lgs. 97/2016» e ne dispone la pubblicazione sul sito istituzionale dell’ANAC.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lastRenderedPageBreak/>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Autorità Nazionale Anticorruzione </w:t>
      </w:r>
    </w:p>
    <w:p w:rsidR="00D14A61" w:rsidRPr="00EA2154" w:rsidRDefault="00D14A61" w:rsidP="00D14A61">
      <w:pPr>
        <w:widowControl w:val="0"/>
        <w:autoSpaceDE w:val="0"/>
        <w:autoSpaceDN w:val="0"/>
        <w:adjustRightInd w:val="0"/>
        <w:spacing w:after="240"/>
        <w:rPr>
          <w:rFonts w:asciiTheme="minorHAnsi" w:hAnsiTheme="minorHAnsi" w:cstheme="minorHAnsi"/>
          <w:sz w:val="20"/>
          <w:szCs w:val="20"/>
        </w:rPr>
      </w:pPr>
      <w:r w:rsidRPr="00EA2154">
        <w:rPr>
          <w:rFonts w:asciiTheme="minorHAnsi" w:hAnsiTheme="minorHAnsi" w:cstheme="minorHAnsi"/>
          <w:sz w:val="20"/>
          <w:szCs w:val="20"/>
        </w:rPr>
        <w:t xml:space="preserve">PRIME LINEE GUIDA RECANTI INDICAZIONI SULL’ATTUAZIONE DEGLI OBBLIGHI DI PUBBLICITÀ, TRASPARENZA E DIFFUSIONE DI INFORMAZIONI CONTENUTE NEL D.LGS. 33/2013 COME MODIFICATO DAL D.LGS. 97/2016 </w:t>
      </w:r>
    </w:p>
    <w:p w:rsidR="004F1C34" w:rsidRPr="004F1C34" w:rsidRDefault="00D14A61" w:rsidP="004F1C34">
      <w:pPr>
        <w:widowControl w:val="0"/>
        <w:autoSpaceDE w:val="0"/>
        <w:autoSpaceDN w:val="0"/>
        <w:adjustRightInd w:val="0"/>
        <w:spacing w:after="240"/>
        <w:jc w:val="both"/>
        <w:rPr>
          <w:rFonts w:ascii="Kristen ITC" w:hAnsi="Kristen ITC"/>
          <w:sz w:val="24"/>
          <w:szCs w:val="24"/>
        </w:rPr>
      </w:pPr>
      <w:r w:rsidRPr="00D14A61">
        <w:rPr>
          <w:rFonts w:ascii="Kristen ITC" w:hAnsi="Kristen ITC"/>
          <w:noProof/>
          <w:sz w:val="24"/>
          <w:szCs w:val="24"/>
          <w:lang w:eastAsia="it-IT"/>
        </w:rPr>
        <w:drawing>
          <wp:inline distT="0" distB="0" distL="0" distR="0">
            <wp:extent cx="6120130" cy="6742002"/>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6742002"/>
                    </a:xfrm>
                    <a:prstGeom prst="rect">
                      <a:avLst/>
                    </a:prstGeom>
                    <a:noFill/>
                    <a:ln>
                      <a:noFill/>
                    </a:ln>
                  </pic:spPr>
                </pic:pic>
              </a:graphicData>
            </a:graphic>
          </wp:inline>
        </w:drawing>
      </w:r>
    </w:p>
    <w:p w:rsidR="004F1C34" w:rsidRPr="00EA2154" w:rsidRDefault="00D14A61" w:rsidP="00EA2154">
      <w:pPr>
        <w:widowControl w:val="0"/>
        <w:autoSpaceDE w:val="0"/>
        <w:autoSpaceDN w:val="0"/>
        <w:adjustRightInd w:val="0"/>
        <w:spacing w:after="240"/>
        <w:rPr>
          <w:rFonts w:asciiTheme="minorHAnsi" w:hAnsiTheme="minorHAnsi" w:cstheme="minorHAnsi"/>
          <w:sz w:val="20"/>
          <w:szCs w:val="20"/>
        </w:rPr>
      </w:pPr>
      <w:r w:rsidRPr="00D14A61">
        <w:rPr>
          <w:rFonts w:asciiTheme="minorHAnsi" w:hAnsiTheme="minorHAnsi" w:cstheme="minorHAnsi"/>
          <w:noProof/>
          <w:sz w:val="20"/>
          <w:szCs w:val="20"/>
          <w:lang w:eastAsia="it-IT"/>
        </w:rPr>
        <w:lastRenderedPageBreak/>
        <w:drawing>
          <wp:inline distT="0" distB="0" distL="0" distR="0">
            <wp:extent cx="6120130" cy="343177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431778"/>
                    </a:xfrm>
                    <a:prstGeom prst="rect">
                      <a:avLst/>
                    </a:prstGeom>
                    <a:noFill/>
                    <a:ln>
                      <a:noFill/>
                    </a:ln>
                  </pic:spPr>
                </pic:pic>
              </a:graphicData>
            </a:graphic>
          </wp:inline>
        </w:drawing>
      </w:r>
    </w:p>
    <w:p w:rsidR="004F1C34" w:rsidRDefault="004F1C34" w:rsidP="00AD34AC">
      <w:pPr>
        <w:widowControl w:val="0"/>
        <w:autoSpaceDE w:val="0"/>
        <w:autoSpaceDN w:val="0"/>
        <w:adjustRightInd w:val="0"/>
        <w:spacing w:after="240"/>
        <w:jc w:val="both"/>
        <w:rPr>
          <w:rFonts w:asciiTheme="minorHAnsi" w:hAnsiTheme="minorHAnsi" w:cstheme="minorHAnsi"/>
          <w:sz w:val="20"/>
          <w:szCs w:val="20"/>
        </w:rPr>
      </w:pPr>
    </w:p>
    <w:p w:rsidR="00D14A61" w:rsidRPr="00AD34AC" w:rsidRDefault="00D14A61" w:rsidP="00AD34AC">
      <w:pPr>
        <w:widowControl w:val="0"/>
        <w:autoSpaceDE w:val="0"/>
        <w:autoSpaceDN w:val="0"/>
        <w:adjustRightInd w:val="0"/>
        <w:spacing w:after="240"/>
        <w:jc w:val="both"/>
        <w:rPr>
          <w:rFonts w:asciiTheme="minorHAnsi" w:hAnsiTheme="minorHAnsi" w:cstheme="minorHAnsi"/>
          <w:sz w:val="20"/>
          <w:szCs w:val="20"/>
        </w:rPr>
      </w:pPr>
    </w:p>
    <w:p w:rsidR="004F1C34" w:rsidRPr="00EA2154" w:rsidRDefault="004F1C34" w:rsidP="00EA2154">
      <w:pPr>
        <w:widowControl w:val="0"/>
        <w:autoSpaceDE w:val="0"/>
        <w:autoSpaceDN w:val="0"/>
        <w:adjustRightInd w:val="0"/>
        <w:spacing w:after="240"/>
        <w:rPr>
          <w:rFonts w:asciiTheme="minorHAnsi" w:hAnsiTheme="minorHAnsi" w:cstheme="minorHAnsi"/>
          <w:sz w:val="20"/>
          <w:szCs w:val="20"/>
        </w:rPr>
      </w:pPr>
    </w:p>
    <w:p w:rsidR="004F1C34" w:rsidRPr="00EA2154" w:rsidRDefault="004F1C34" w:rsidP="00EA2154">
      <w:pPr>
        <w:widowControl w:val="0"/>
        <w:autoSpaceDE w:val="0"/>
        <w:autoSpaceDN w:val="0"/>
        <w:adjustRightInd w:val="0"/>
        <w:spacing w:after="240"/>
        <w:rPr>
          <w:rFonts w:asciiTheme="minorHAnsi" w:hAnsiTheme="minorHAnsi" w:cstheme="minorHAnsi"/>
          <w:sz w:val="20"/>
          <w:szCs w:val="20"/>
        </w:rPr>
      </w:pPr>
      <w:r w:rsidRPr="00EA2154">
        <w:rPr>
          <w:rFonts w:asciiTheme="minorHAnsi" w:hAnsiTheme="minorHAnsi" w:cstheme="minorHAnsi"/>
          <w:sz w:val="20"/>
          <w:szCs w:val="20"/>
        </w:rPr>
        <w:t xml:space="preserve">  </w:t>
      </w:r>
    </w:p>
    <w:p w:rsidR="004F1C34" w:rsidRPr="00EA2154" w:rsidRDefault="004F1C34" w:rsidP="00EA2154">
      <w:pPr>
        <w:widowControl w:val="0"/>
        <w:autoSpaceDE w:val="0"/>
        <w:autoSpaceDN w:val="0"/>
        <w:adjustRightInd w:val="0"/>
        <w:spacing w:after="240"/>
        <w:rPr>
          <w:rFonts w:asciiTheme="minorHAnsi" w:hAnsiTheme="minorHAnsi" w:cstheme="minorHAnsi"/>
          <w:sz w:val="20"/>
          <w:szCs w:val="20"/>
        </w:rPr>
      </w:pPr>
    </w:p>
    <w:p w:rsidR="004F1C34" w:rsidRDefault="004F1C34" w:rsidP="004F1C34">
      <w:pPr>
        <w:widowControl w:val="0"/>
        <w:autoSpaceDE w:val="0"/>
        <w:autoSpaceDN w:val="0"/>
        <w:adjustRightInd w:val="0"/>
        <w:spacing w:after="240"/>
        <w:jc w:val="both"/>
        <w:rPr>
          <w:rFonts w:ascii="Kristen ITC" w:hAnsi="Kristen ITC"/>
          <w:sz w:val="24"/>
          <w:szCs w:val="24"/>
        </w:rPr>
      </w:pPr>
    </w:p>
    <w:p w:rsidR="00D14A61" w:rsidRDefault="00D14A61" w:rsidP="004F1C34">
      <w:pPr>
        <w:widowControl w:val="0"/>
        <w:autoSpaceDE w:val="0"/>
        <w:autoSpaceDN w:val="0"/>
        <w:adjustRightInd w:val="0"/>
        <w:spacing w:after="240"/>
        <w:jc w:val="both"/>
        <w:rPr>
          <w:rFonts w:ascii="Kristen ITC" w:hAnsi="Kristen ITC"/>
          <w:sz w:val="24"/>
          <w:szCs w:val="24"/>
        </w:rPr>
      </w:pPr>
    </w:p>
    <w:p w:rsidR="00D14A61" w:rsidRDefault="00D14A61" w:rsidP="004F1C34">
      <w:pPr>
        <w:widowControl w:val="0"/>
        <w:autoSpaceDE w:val="0"/>
        <w:autoSpaceDN w:val="0"/>
        <w:adjustRightInd w:val="0"/>
        <w:spacing w:after="240"/>
        <w:jc w:val="both"/>
        <w:rPr>
          <w:rFonts w:ascii="Kristen ITC" w:hAnsi="Kristen ITC"/>
          <w:sz w:val="24"/>
          <w:szCs w:val="24"/>
        </w:rPr>
      </w:pPr>
    </w:p>
    <w:p w:rsidR="00D14A61" w:rsidRDefault="00D14A61" w:rsidP="004F1C34">
      <w:pPr>
        <w:widowControl w:val="0"/>
        <w:autoSpaceDE w:val="0"/>
        <w:autoSpaceDN w:val="0"/>
        <w:adjustRightInd w:val="0"/>
        <w:spacing w:after="240"/>
        <w:jc w:val="both"/>
        <w:rPr>
          <w:rFonts w:ascii="Kristen ITC" w:hAnsi="Kristen ITC"/>
          <w:sz w:val="24"/>
          <w:szCs w:val="24"/>
        </w:rPr>
      </w:pPr>
    </w:p>
    <w:p w:rsidR="00D14A61" w:rsidRDefault="00D14A61" w:rsidP="004F1C34">
      <w:pPr>
        <w:widowControl w:val="0"/>
        <w:autoSpaceDE w:val="0"/>
        <w:autoSpaceDN w:val="0"/>
        <w:adjustRightInd w:val="0"/>
        <w:spacing w:after="240"/>
        <w:jc w:val="both"/>
        <w:rPr>
          <w:rFonts w:ascii="Kristen ITC" w:hAnsi="Kristen ITC"/>
          <w:sz w:val="24"/>
          <w:szCs w:val="24"/>
        </w:rPr>
      </w:pPr>
    </w:p>
    <w:p w:rsidR="00D14A61" w:rsidRDefault="00D14A61" w:rsidP="004F1C34">
      <w:pPr>
        <w:widowControl w:val="0"/>
        <w:autoSpaceDE w:val="0"/>
        <w:autoSpaceDN w:val="0"/>
        <w:adjustRightInd w:val="0"/>
        <w:spacing w:after="240"/>
        <w:jc w:val="both"/>
        <w:rPr>
          <w:rFonts w:ascii="Kristen ITC" w:hAnsi="Kristen ITC"/>
          <w:sz w:val="24"/>
          <w:szCs w:val="24"/>
        </w:rPr>
      </w:pPr>
    </w:p>
    <w:p w:rsidR="00D14A61" w:rsidRDefault="00D14A61" w:rsidP="004F1C34">
      <w:pPr>
        <w:widowControl w:val="0"/>
        <w:autoSpaceDE w:val="0"/>
        <w:autoSpaceDN w:val="0"/>
        <w:adjustRightInd w:val="0"/>
        <w:spacing w:after="240"/>
        <w:jc w:val="both"/>
        <w:rPr>
          <w:rFonts w:ascii="Kristen ITC" w:hAnsi="Kristen ITC"/>
          <w:sz w:val="24"/>
          <w:szCs w:val="24"/>
        </w:rPr>
      </w:pPr>
    </w:p>
    <w:p w:rsidR="00D14A61" w:rsidRDefault="00D14A61" w:rsidP="004F1C34">
      <w:pPr>
        <w:widowControl w:val="0"/>
        <w:autoSpaceDE w:val="0"/>
        <w:autoSpaceDN w:val="0"/>
        <w:adjustRightInd w:val="0"/>
        <w:spacing w:after="240"/>
        <w:jc w:val="both"/>
        <w:rPr>
          <w:rFonts w:ascii="Kristen ITC" w:hAnsi="Kristen ITC"/>
          <w:sz w:val="24"/>
          <w:szCs w:val="24"/>
        </w:rPr>
      </w:pPr>
    </w:p>
    <w:p w:rsidR="00D14A61" w:rsidRPr="004F1C34" w:rsidRDefault="00D14A61" w:rsidP="004F1C34">
      <w:pPr>
        <w:widowControl w:val="0"/>
        <w:autoSpaceDE w:val="0"/>
        <w:autoSpaceDN w:val="0"/>
        <w:adjustRightInd w:val="0"/>
        <w:spacing w:after="240"/>
        <w:jc w:val="both"/>
        <w:rPr>
          <w:rFonts w:ascii="Kristen ITC" w:hAnsi="Kristen ITC"/>
          <w:sz w:val="24"/>
          <w:szCs w:val="24"/>
        </w:rPr>
      </w:pP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lastRenderedPageBreak/>
        <w:t xml:space="preserve">Introduzione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Il d.lgs. 97/2016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 di seguito “d.lgs. 97/2016”, ha apportato numerosi cambiamenti alla normativa sulla trasparenza, rafforzandone il valore di principio che caratterizza l’organizzazione e l’attività delle pubbliche amministrazioni e i rapporti con i cittadini. Il d.lgs. 97/2016 è intervenuto, con abrogazioni o integrazioni, su diversi obblighi di trasparenza. Tra le modifiche di carattere generale di maggior rilievo, si rileva il mutamento dell’ambito soggettivo di applicazione della normativa sulla trasparenza, l’introduzione del nuovo istituto dell’accesso civico generalizzato agli atti e ai documenti detenuti dalle pubbliche amministrazioni, l’unificazione fra il Programma triennale di prevenzione della corruzione e quello della trasparenza, l’introduzione di nuove sanzioni pecuniarie nonché l’attribuzione ad ANAC della competenza all’irrogazione delle stesse.  Le presenti Linee guida, come indicato nel PNA 2016, hanno l’obiettivo di fornire indicazioni alle pubbliche amministrazioni e ad altri enti, sulle principali e più significative modifiche intervenute. Per quanto concerne l’accesso civico generalizzato e la disciplina applicabile alle società e agli enti di diritto privato, si rinvia alle apposite Linee guida in corso di adozione. Le presenti Linee guida sono suddivise in tre parti. Una prima parte illustra le modifiche di carattere generale che sono state introdotte dal d.lgs. 97/2016, con particolare riferimento all’ambito soggettivo di applicazione, alla programmazione della trasparenza e alla qualità dei dati pubblicati. Nella seconda parte si dà conto delle principali modifiche o integrazioni degli obblighi di pubblicazione disciplinati nel d.lgs. 33/2013. Con riferimento ai dati da pubblicare ai sensi dell’art. 14, si rinvia a specifiche Linee guida in corso di adozione. Nella terza parte sono fornite alcune indicazioni circa la decorrenza dei nuovi obblighi e l’accesso civico in caso di mancata pubblicazione di dati. In allegato alle Linee guida è stata predisposta, in sostituzione dell’allegato 1 della delibera n. 50/ 2013, una mappa ricognitiva degli obblighi di pubblicazione previsti per le pubbliche amministrazioni dalla normativa vigente.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Autorità Nazionale Anticorruzione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lastRenderedPageBreak/>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5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Parte prima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1. Ambito soggettivo di applicazione del d.lgs. 33/</w:t>
      </w:r>
      <w:proofErr w:type="gramStart"/>
      <w:r w:rsidRPr="004F1C34">
        <w:rPr>
          <w:rFonts w:ascii="Kristen ITC" w:hAnsi="Kristen ITC"/>
          <w:sz w:val="24"/>
          <w:szCs w:val="24"/>
        </w:rPr>
        <w:t>2013  L’art.</w:t>
      </w:r>
      <w:proofErr w:type="gramEnd"/>
      <w:r w:rsidRPr="004F1C34">
        <w:rPr>
          <w:rFonts w:ascii="Kristen ITC" w:hAnsi="Kristen ITC"/>
          <w:sz w:val="24"/>
          <w:szCs w:val="24"/>
        </w:rPr>
        <w:t xml:space="preserve"> 2-bis del d.lgs. 33/2013, introdotto dal d.lgs. 97/2016, ridisegna l’ambito soggettivo di applicazione della disciplina sulla trasparenza rispetto alla precedente indicazione normativa contenuta nell’abrogato art. 11 del d.lgs. 33/2013.  I destinatari degli obblighi di trasparenza sono ora ricondotti a tre categorie di </w:t>
      </w:r>
      <w:proofErr w:type="gramStart"/>
      <w:r w:rsidRPr="004F1C34">
        <w:rPr>
          <w:rFonts w:ascii="Kristen ITC" w:hAnsi="Kristen ITC"/>
          <w:sz w:val="24"/>
          <w:szCs w:val="24"/>
        </w:rPr>
        <w:t>soggetti:  1</w:t>
      </w:r>
      <w:proofErr w:type="gramEnd"/>
      <w:r w:rsidRPr="004F1C34">
        <w:rPr>
          <w:rFonts w:ascii="Kristen ITC" w:hAnsi="Kristen ITC"/>
          <w:sz w:val="24"/>
          <w:szCs w:val="24"/>
        </w:rPr>
        <w:t>) pubbliche amministrazioni di cui all’art. 1, co. 2 del d.lgs. 165/2000, ivi comprese le autorità portuali nonché le autorità amministrative indipendenti di garanzia, vigilanza e regolazione, destinatarie dirette della disciplina contenuta nel decreto (art. 2-bis, co. 1</w:t>
      </w:r>
      <w:proofErr w:type="gramStart"/>
      <w:r w:rsidRPr="004F1C34">
        <w:rPr>
          <w:rFonts w:ascii="Kristen ITC" w:hAnsi="Kristen ITC"/>
          <w:sz w:val="24"/>
          <w:szCs w:val="24"/>
        </w:rPr>
        <w:t>);  2</w:t>
      </w:r>
      <w:proofErr w:type="gramEnd"/>
      <w:r w:rsidRPr="004F1C34">
        <w:rPr>
          <w:rFonts w:ascii="Kristen ITC" w:hAnsi="Kristen ITC"/>
          <w:sz w:val="24"/>
          <w:szCs w:val="24"/>
        </w:rPr>
        <w:t>) enti pubblici economici, ordini professionali, società in controllo pubblico, associazioni, fondazioni ed enti di diritto privato, sottoposti alla medesima disciplina prevista per le p.a. «in quanto compatibile» (art. 2-bis, co. 2</w:t>
      </w:r>
      <w:proofErr w:type="gramStart"/>
      <w:r w:rsidRPr="004F1C34">
        <w:rPr>
          <w:rFonts w:ascii="Kristen ITC" w:hAnsi="Kristen ITC"/>
          <w:sz w:val="24"/>
          <w:szCs w:val="24"/>
        </w:rPr>
        <w:t>);  3</w:t>
      </w:r>
      <w:proofErr w:type="gramEnd"/>
      <w:r w:rsidRPr="004F1C34">
        <w:rPr>
          <w:rFonts w:ascii="Kristen ITC" w:hAnsi="Kristen ITC"/>
          <w:sz w:val="24"/>
          <w:szCs w:val="24"/>
        </w:rPr>
        <w:t xml:space="preserve">) società a partecipazione pubblica, associazioni, fondazioni ed enti di diritto privato soggetti alla medesima disciplina in materia di trasparenza prevista per le p.a. «in quanto compatibile» e «limitatamente ai dati e ai documenti inerenti all’attività di pubblico interesse disciplinata dal diritto nazionale o dell’Unione europea» (art. 2-bis, co. 3). Con riferimento ai soggetti elencati nei punti 2) e 3) si rinvia a specifiche Linee guida di modifica della delibera ANAC n. 8/2015 e a un apposito atto d’indirizzo per gli ordini professionali. Al fine di consentire da subito l’adeguamento da parte di detti soggetti alla disciplina sulla trasparenza si precisa, sin da ora, che il criterio della “compatibilità” va inteso come necessità di trovare adattamenti agli obblighi di pubblicazione in ragione delle peculiarità organizzative e funzionali delle diverse tipologie di enti, e non in relazione alle peculiarità di ogni singolo ente. Diversamente si avrebbe un’applicazione estremamente diversificata e disomogenea della trasparenza, anche all’interno della stessa tipologia di enti, conseguenza non rispondente allo scopo della norma e all’obiettivo di poter effettuare, tra le altre cose, comparazioni e confronti.  Si forniscono di seguito alcune indicazioni per una corretta individuazione dei soggetti richiamati nell’art. 2-bis, co. 1 tenuti ad osservare gli obblighi di trasparenza del d.lgs. 33/2013.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1.1. Amministrazioni di cui all’art. 1, co. 2 del decreto legislativo 30 marzo 2001, n. </w:t>
      </w:r>
      <w:r w:rsidRPr="004F1C34">
        <w:rPr>
          <w:rFonts w:ascii="Kristen ITC" w:hAnsi="Kristen ITC"/>
          <w:sz w:val="24"/>
          <w:szCs w:val="24"/>
        </w:rPr>
        <w:lastRenderedPageBreak/>
        <w:t xml:space="preserve">165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In base all’art. 1, co. 2, del d.lgs. 165/2001, le pubbliche amministrazioni sono «tutte le amministrazioni dello Stato, ivi compresi gli istituti e scuole di ogni ordine e grado e le istituzioni educative, le aziende ed amministrazioni dello Stato ad ordinamento autonomo, le Regioni, le Province, i Comuni, le Comunità montane e loro consorzi e associazioni, le istituzioni universitarie, gli Istituti autonomi case popolari, le Camere di commercio, industria, artigianato e agricoltura e loro associazioni, tutti gli enti pubblici non economici nazionali, regionali e locali, le amministrazioni, le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Autorità Nazionale Anticorruzione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6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proofErr w:type="gramStart"/>
      <w:r w:rsidRPr="004F1C34">
        <w:rPr>
          <w:rFonts w:ascii="Kristen ITC" w:hAnsi="Kristen ITC"/>
          <w:sz w:val="24"/>
          <w:szCs w:val="24"/>
        </w:rPr>
        <w:t>aziende</w:t>
      </w:r>
      <w:proofErr w:type="gramEnd"/>
      <w:r w:rsidRPr="004F1C34">
        <w:rPr>
          <w:rFonts w:ascii="Kristen ITC" w:hAnsi="Kristen ITC"/>
          <w:sz w:val="24"/>
          <w:szCs w:val="24"/>
        </w:rPr>
        <w:t xml:space="preserv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  Ai fini dell’individuazione degli “enti pubblici non economici nazionali, regionali e locali” occorre considerare la natura di ciascun ente derivata dalla qualificazione normativa o dalle rispettive disposizioni statutarie e regolamentari, nonché dagli indici di riconoscimento della natura pubblica elaborati dalla giurisprudenza.  Riguardo alle Agenzie fiscali, si precisa che il d.lgs. 97/2016 ha abrogato la norma contenuta nell’art. 1, co. 611, </w:t>
      </w:r>
      <w:proofErr w:type="spellStart"/>
      <w:r w:rsidRPr="004F1C34">
        <w:rPr>
          <w:rFonts w:ascii="Kristen ITC" w:hAnsi="Kristen ITC"/>
          <w:sz w:val="24"/>
          <w:szCs w:val="24"/>
        </w:rPr>
        <w:t>lett</w:t>
      </w:r>
      <w:proofErr w:type="spellEnd"/>
      <w:r w:rsidRPr="004F1C34">
        <w:rPr>
          <w:rFonts w:ascii="Kristen ITC" w:hAnsi="Kristen ITC"/>
          <w:sz w:val="24"/>
          <w:szCs w:val="24"/>
        </w:rPr>
        <w:t xml:space="preserve">. f) l. 27 dicembre 2013, n. 147 che prevedeva alcune limitazioni alla pubblicazione di dati delle Agenzie fiscali. Ne consegue che all’Agenzia delle Entrate e all’Agenzia delle Dogane e dei Monopoli, enti pubblici non economici, si applica integralmente il d.lgs. 33/2013. L’Agenzia del Demanio, ente pubblico economico (art. 61, co. 1, d.lgs. 300/1999), applica invece le disposizioni del decreto con gli adattamenti, secondo il principio della compatibilità, previsti per gli enti pubblici economici ai sensi delle Linee guida in corso di adozione, cui si rinvia.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1.2. Autorità portuali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lastRenderedPageBreak/>
        <w:t>Per le Autorità portuali si osserva che il decreto legislativo 4 agosto 2016, n. 169 «Riorganizzazione, razionalizzazione e semplificazione della disciplina concernente le Autorità portuali di cui alla legge 28 gennaio 1994, n. 84, in attuazione dell'articolo 8, comma 1, lettera f), della legge 7 agosto 2015, n. 124», adottato successivamente al d.lgs. 97/2016 ha previsto la loro trasformazione in Autorità di Sistema Portuale (</w:t>
      </w:r>
      <w:proofErr w:type="spellStart"/>
      <w:r w:rsidRPr="004F1C34">
        <w:rPr>
          <w:rFonts w:ascii="Kristen ITC" w:hAnsi="Kristen ITC"/>
          <w:sz w:val="24"/>
          <w:szCs w:val="24"/>
        </w:rPr>
        <w:t>AdSP</w:t>
      </w:r>
      <w:proofErr w:type="spellEnd"/>
      <w:r w:rsidRPr="004F1C34">
        <w:rPr>
          <w:rFonts w:ascii="Kristen ITC" w:hAnsi="Kristen ITC"/>
          <w:sz w:val="24"/>
          <w:szCs w:val="24"/>
        </w:rPr>
        <w:t xml:space="preserve">) aventi natura di enti pubblici non economici di rilevanza nazionale a ordinamento speciale dotati di autonomia amministrativa, organizzativa, regolamentare, di bilancio e finanziaria (art. 6, co. 5, l. 84/1994). Stante dunque la loro natura giuridica di enti pubblici non economici, alle autorità portuali si applica, come già previsto in precedenza, la disciplina prevista per tutte le pubbliche amministrazioni di cui all’art. 1, co. 2 del d.lgs. 165/2001.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1.3. Autorità amministrative indipendenti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La relazione illustrativa del decreto d.lgs. 97/2016 presenta un’elencazione delle autorità amministrative indipendenti di garanzia, vigilanza e regolazione che ricomprende l’Autorità Garante della concorrenza e del mercato, la Commissione nazionale per le società e la borsa, l’Autorità di regolazione dei trasporti, l’Autorità per l’energia elettrica, il gas il sistema idrico, l’Autorità per le garanzie nelle comunicazioni, il Garante per la protezione dei dati personali, l’Autorità nazionale anticorruzione, la Commissione di vigilanza sui fondi pensione, la Commissione di garanzia dell’attuazione della legge sullo sciopero nei servizi pubblici essenziali, la Banca d’Italia. Dette autorità osservano, quindi, gli obblighi di trasparenza previsti dal d.lgs. 33/2013 in continuità con quanto già previsto nel previgente art.11 del d.lgs. 33/2013, come modificato dall’art. 24 del </w:t>
      </w:r>
      <w:proofErr w:type="spellStart"/>
      <w:r w:rsidRPr="004F1C34">
        <w:rPr>
          <w:rFonts w:ascii="Kristen ITC" w:hAnsi="Kristen ITC"/>
          <w:sz w:val="24"/>
          <w:szCs w:val="24"/>
        </w:rPr>
        <w:t>d.l.</w:t>
      </w:r>
      <w:proofErr w:type="spellEnd"/>
      <w:r w:rsidRPr="004F1C34">
        <w:rPr>
          <w:rFonts w:ascii="Kristen ITC" w:hAnsi="Kristen ITC"/>
          <w:sz w:val="24"/>
          <w:szCs w:val="24"/>
        </w:rPr>
        <w:t xml:space="preserve"> 90/2014.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Autorità Nazionale Anticorruzione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7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1.4. Regioni a statuto speciale e Province autonome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lastRenderedPageBreak/>
        <w:t xml:space="preserve">Le modifiche introdotte dal d.lgs. 97/2016 non hanno interessato le norme transitorie e finali contenute nell’art. 49 del d.lgs. 33/2013. Resta fermo quindi che le Regioni a statuto speciale e le Province autonome di Trento e Bolzano possono individuare forme e modalità di applicazione del decreto in ragione della peculiarità dei propri ordinamenti (co. 4). Si evidenzia al riguardo che, anche alla luce dell’esperienza maturata dall’Autorità nell’esercizio </w:t>
      </w:r>
      <w:proofErr w:type="spellStart"/>
      <w:r w:rsidRPr="004F1C34">
        <w:rPr>
          <w:rFonts w:ascii="Kristen ITC" w:hAnsi="Kristen ITC"/>
          <w:sz w:val="24"/>
          <w:szCs w:val="24"/>
        </w:rPr>
        <w:t>della attività</w:t>
      </w:r>
      <w:proofErr w:type="spellEnd"/>
      <w:r w:rsidRPr="004F1C34">
        <w:rPr>
          <w:rFonts w:ascii="Kristen ITC" w:hAnsi="Kristen ITC"/>
          <w:sz w:val="24"/>
          <w:szCs w:val="24"/>
        </w:rPr>
        <w:t xml:space="preserve"> di vigilanza e controllo sul rispetto degli obblighi di trasparenza, tale previsione è da intendersi riferita esclusivamente alle “forme e modalità” attuative delle disposizioni in materia di trasparenza contenute nel d.lgs. 33/2013. Ciò vuol dire che non possono essere previste, comunque, deroghe ai contenuti del decreto che limitino o condizionino i contenuti degli obblighi di trasparenza.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1.5. Organi costituzionali e Organi a rilevanza costituzionale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Nell’ambito soggettivo di applicazione del d.lgs. 33/2013 il legislatore non ha considerato direttamente gli Organi costituzionali e gli Organi a rilevanza costituzionale e i loro apparati.  Pur nell’assenza di specifici riferimenti nella legislazione ordinaria, tuttavia, è auspicabile un progressivo autonomo adeguamento di detti Organi alle disposizioni del decreto, nel rispetto dell’autonomia e delle prerogative loro riconosciute dalla legge e dalla Costituzione.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2. La programmazione della trasparenza: un unico Piano di prevenzione della corruzione e della trasparenza e un unico Responsabile Tra le modifiche più importanti del d.lgs. 33/2013 si registra quella della piena integrazione del Programma triennale della trasparenza e dell’integrità nel Piano triennale di prevenzione della corruzione, ora anche della trasparenza (PTPCT) come già indicato nella delibera n. 831/2016 dell’Autorità sul PNA 2016 (cfr. § 4</w:t>
      </w:r>
      <w:proofErr w:type="gramStart"/>
      <w:r w:rsidRPr="004F1C34">
        <w:rPr>
          <w:rFonts w:ascii="Kristen ITC" w:hAnsi="Kristen ITC"/>
          <w:sz w:val="24"/>
          <w:szCs w:val="24"/>
        </w:rPr>
        <w:t>) .</w:t>
      </w:r>
      <w:proofErr w:type="gramEnd"/>
      <w:r w:rsidRPr="004F1C34">
        <w:rPr>
          <w:rFonts w:ascii="Kristen ITC" w:hAnsi="Kristen ITC"/>
          <w:sz w:val="24"/>
          <w:szCs w:val="24"/>
        </w:rPr>
        <w:t xml:space="preserve"> Le amministrazioni e gli altri soggetti obbligati sono tenuti, pertanto, ad adottare, entro il 31 gennaio di ogni anno, un unico Piano triennale di prevenzione della corruzione e della trasparenza in cui sia chiaramente identificata la sezione relativa alla trasparenza. Come già chiarito nel PNA 2016, in una logica di semplificazione e in attesa della realizzazione di un’apposita piattaforma informatica, non deve essere trasmesso alcun documento ad ANAC. I PTPCT devono, invece, essere pubblicati sul sito istituzionale tempestivamente e comunque non oltre un mese dall’adozione.  Per quel che concerne i contenuti, gli obiettivi strategici in materia di trasparenza </w:t>
      </w:r>
      <w:r w:rsidRPr="004F1C34">
        <w:rPr>
          <w:rFonts w:ascii="Kristen ITC" w:hAnsi="Kristen ITC"/>
          <w:sz w:val="24"/>
          <w:szCs w:val="24"/>
        </w:rPr>
        <w:lastRenderedPageBreak/>
        <w:t xml:space="preserve">definiti da parte degli organi politici costituiscono elemento necessario, e dunque ineludibile, della sezione del PTPC relativa alla trasparenza. Si precisa che questo è quanto previsto dal co. 8 dell’art.1 della l. 190/2012, come modificato dall’art. 41 co. 1 </w:t>
      </w:r>
      <w:proofErr w:type="spellStart"/>
      <w:r w:rsidRPr="004F1C34">
        <w:rPr>
          <w:rFonts w:ascii="Kristen ITC" w:hAnsi="Kristen ITC"/>
          <w:sz w:val="24"/>
          <w:szCs w:val="24"/>
        </w:rPr>
        <w:t>lett</w:t>
      </w:r>
      <w:proofErr w:type="spellEnd"/>
      <w:r w:rsidRPr="004F1C34">
        <w:rPr>
          <w:rFonts w:ascii="Kristen ITC" w:hAnsi="Kristen ITC"/>
          <w:sz w:val="24"/>
          <w:szCs w:val="24"/>
        </w:rPr>
        <w:t xml:space="preserve">. g) del d.lgs. 97/2016.  Il legislatore ha rafforzato poi la necessità che sia assicurato il coordinamento tra gli obiettivi strategici in materia di trasparenza contenuti nel PTPCT e gli obiettivi degli altri documenti di natura programmatica e strategico-gestionale dell’amministrazione nonché con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Autorità Nazionale Anticorruzione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8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proofErr w:type="gramStart"/>
      <w:r w:rsidRPr="004F1C34">
        <w:rPr>
          <w:rFonts w:ascii="Kristen ITC" w:hAnsi="Kristen ITC"/>
          <w:sz w:val="24"/>
          <w:szCs w:val="24"/>
        </w:rPr>
        <w:t>il</w:t>
      </w:r>
      <w:proofErr w:type="gramEnd"/>
      <w:r w:rsidRPr="004F1C34">
        <w:rPr>
          <w:rFonts w:ascii="Kristen ITC" w:hAnsi="Kristen ITC"/>
          <w:sz w:val="24"/>
          <w:szCs w:val="24"/>
        </w:rPr>
        <w:t xml:space="preserve"> piano della performance. Ciò al fine di garantire la coerenza e l’effettiva sostenibilità degli obiettivi posti.  Nel novellato art. 10 del d.lgs. 33/2013, che prevede l’accorpamento tra programmazione della trasparenza e programmazione delle misure di prevenzione della corruzione, viene chiarito che la sezione del PTPCT sulla trasparenza debba essere impostata come atto organizzativo fondamentale dei flussi informativi necessari per garantire, all’interno di ogni ente, l’individuazione/l’elaborazione, la trasmissione e la pubblicazione dei dati.  Caratteristica essenziale della sezione della trasparenza è l’indicazione dei nominativi dei soggetti responsabili della trasmissione dei dati, intesi quali uffici tenuti alla individuazione e/o alla elaborazione dei dati, e di quelli cui spetta la pubblicazione. In altre parole, in questa sezione del PTPCT non potrà mancare uno schema in cui, per ciascun obbligo, siano espressamente indicati i nominativi dei soggetti e gli uffici responsabili di ognuna delle citate attività. In ragione delle dimensioni dei singoli enti, alcune di tali attività possono essere presumibilmente svolte da un unico soggetto. In enti di piccole dimensione, ad esempio, può verificarsi che chi detiene il dato sia anche quello che lo elabora e lo trasmette per la pubblicazione o addirittura che lo pubblica direttamente nella sezione “Amministrazione trasparente”. In amministrazioni complesse, quali, a titolo esemplificativo un Ministero con articolazioni periferiche, invece, di norma queste attività sono più facilmente svolte da soggetti diversi. L’individuazione dei responsabili delle varie fasi del flusso informativo è anche funzionale al sistema delle responsabilità previsto dal d.lgs. 33/2013. È in ogni caso consentita la possibilità </w:t>
      </w:r>
      <w:r w:rsidRPr="004F1C34">
        <w:rPr>
          <w:rFonts w:ascii="Kristen ITC" w:hAnsi="Kristen ITC"/>
          <w:sz w:val="24"/>
          <w:szCs w:val="24"/>
        </w:rPr>
        <w:lastRenderedPageBreak/>
        <w:t xml:space="preserve">di indicare, in luogo del nominativo, il responsabile in termini di posizione ricoperta nell’organizzazione, purché il nominativo associato alla posizione sia chiaramente individuabile all’interno dell’organigramma dell’ente. Si tratta, peraltro, in questo caso di una soluzione analoga a quella già adottata in tema di responsabilità dei procedimenti amministrativi di cui all’art. 35 del d.lgs. 33/2013.  Nella sezione del PTPCT dedicata alla programmazione della trasparenza è, inoltre, opportuno che ogni amministrazione definisca, in relazione alla periodicità dell’aggiornamento fissato dalle norme, i termini entro i quali prevedere l’effettiva pubblicazione di ciascun dato nonché le modalità stabilite per la vigilanza ed il monitoraggio sull’attuazione degli obblighi. L’Autorità nell’effettuare la propria vigilanza terrà conto delle scadenze indicate nel PTPCT, ferme restando le scadenze per l’aggiornamento disposte dalle norme. Si ritiene, inoltre, utile indicare nel PTPCT i casi in cui non è possibile pubblicare i dati previsti dalla normativa in quanto non pertinenti rispetto alle caratteristiche organizzative o funzionali dell’Amministrazione1.   Sia gli obiettivi strategici in materia di trasparenza (art. 1, co. 8, l. 190/2012), da pubblicare unitariamente a quelli di prevenzione della corruzione, sia la sezione della trasparenza con l’indicazione dei responsabili della trasmissione e della pubblicazione dei documenti e delle informazioni (art. 10, co. 1, d.lgs. 33/2013) costituiscono contenuto necessario del PTPCT. In assenza, è configurabile la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1 Ad esempio, un’autorità amministrativa indipendente non pubblica i dati sulla programmazione territoriale.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Autorità Nazionale Anticorruzione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9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proofErr w:type="gramStart"/>
      <w:r w:rsidRPr="004F1C34">
        <w:rPr>
          <w:rFonts w:ascii="Kristen ITC" w:hAnsi="Kristen ITC"/>
          <w:sz w:val="24"/>
          <w:szCs w:val="24"/>
        </w:rPr>
        <w:t>fattispecie</w:t>
      </w:r>
      <w:proofErr w:type="gramEnd"/>
      <w:r w:rsidRPr="004F1C34">
        <w:rPr>
          <w:rFonts w:ascii="Kristen ITC" w:hAnsi="Kristen ITC"/>
          <w:sz w:val="24"/>
          <w:szCs w:val="24"/>
        </w:rPr>
        <w:t xml:space="preserve"> della mancata adozione del Programma triennale della trasparenza per cui l’ANAC si riserva di irrogare le sanzioni pecuniarie ai sensi dell’art. 19, co. 5, del </w:t>
      </w:r>
      <w:proofErr w:type="spellStart"/>
      <w:r w:rsidRPr="004F1C34">
        <w:rPr>
          <w:rFonts w:ascii="Kristen ITC" w:hAnsi="Kristen ITC"/>
          <w:sz w:val="24"/>
          <w:szCs w:val="24"/>
        </w:rPr>
        <w:t>d.l.</w:t>
      </w:r>
      <w:proofErr w:type="spellEnd"/>
      <w:r w:rsidRPr="004F1C34">
        <w:rPr>
          <w:rFonts w:ascii="Kristen ITC" w:hAnsi="Kristen ITC"/>
          <w:sz w:val="24"/>
          <w:szCs w:val="24"/>
        </w:rPr>
        <w:t xml:space="preserve"> 90/2014.  Nell’obiettivo di programmare e integrare in modo più incisivo e sinergico la materia della trasparenza e dell’anticorruzione rientra, inoltre, la </w:t>
      </w:r>
      <w:r w:rsidRPr="004F1C34">
        <w:rPr>
          <w:rFonts w:ascii="Kristen ITC" w:hAnsi="Kristen ITC"/>
          <w:sz w:val="24"/>
          <w:szCs w:val="24"/>
        </w:rPr>
        <w:lastRenderedPageBreak/>
        <w:t xml:space="preserve">modifica apportata all’art. 1, co. 7, della legge 190/2012 dall’art. 41, co. 1, </w:t>
      </w:r>
      <w:proofErr w:type="spellStart"/>
      <w:r w:rsidRPr="004F1C34">
        <w:rPr>
          <w:rFonts w:ascii="Kristen ITC" w:hAnsi="Kristen ITC"/>
          <w:sz w:val="24"/>
          <w:szCs w:val="24"/>
        </w:rPr>
        <w:t>lett</w:t>
      </w:r>
      <w:proofErr w:type="spellEnd"/>
      <w:r w:rsidRPr="004F1C34">
        <w:rPr>
          <w:rFonts w:ascii="Kristen ITC" w:hAnsi="Kristen ITC"/>
          <w:sz w:val="24"/>
          <w:szCs w:val="24"/>
        </w:rPr>
        <w:t xml:space="preserve">. f) del d.lgs. 97/2016 in cui è previsto che vi sia un unico Responsabile della prevenzione della corruzione e della trasparenza (RPCT). Il RPCT dovrà pertanto occuparsi di svolgere la regia complessiva della predisposizione del PTPCT, in costante coordinamento con le strutture dell’amministrazione come indicato nel PNA 2016 (§ 5).  La disposizione sull’unificazione in capo ad un unico soggetto delle due responsabilità, è opportuno sia coordinata con quanto previsto nel d.lgs. 33/2013 laddove sembra ancora permanere la possibilità di affidare a un soggetto distinto il ruolo di Responsabile della trasparenza (v. art. 43 d.lgs. 33/2013). Ad avviso dell’Autorità, considerata la nuova indicazione legislativa sulla concentrazione delle due responsabilità, la possibilità di mantenere distinte le figure di RPCT e di RT va intesa in senso restrittivo: è possibile, cioè, laddove esistano obiettive difficoltà organizzative tali da giustificare la distinta attribuzione dei ruoli. Ciò si può verificare, ad esempio, in organizzazioni particolarmente complesse ed estese sul territorio e al solo fine di facilitare l’applicazione effettiva e sostanziale della disciplina sull’anticorruzione e sulla trasparenza. E’ necessario che le amministrazioni chiariscano espressamente le motivazioni di questa eventuale scelta nei provvedimenti di nomina del RPC e RT e garantiscano il coordinamento delle attività svolte dai due responsabili, anche attraverso un adeguato supporto organizzativo.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3. Qualità dei dati pubblicati. Decorrenza e durata dell’obbligo di </w:t>
      </w:r>
      <w:proofErr w:type="gramStart"/>
      <w:r w:rsidRPr="004F1C34">
        <w:rPr>
          <w:rFonts w:ascii="Kristen ITC" w:hAnsi="Kristen ITC"/>
          <w:sz w:val="24"/>
          <w:szCs w:val="24"/>
        </w:rPr>
        <w:t>pubblicazione  Con</w:t>
      </w:r>
      <w:proofErr w:type="gramEnd"/>
      <w:r w:rsidRPr="004F1C34">
        <w:rPr>
          <w:rFonts w:ascii="Kristen ITC" w:hAnsi="Kristen ITC"/>
          <w:sz w:val="24"/>
          <w:szCs w:val="24"/>
        </w:rPr>
        <w:t xml:space="preserve"> l’art. 6, co. 3 del d.lgs. 97/2016 viene inserito, ex novo, nel d.lgs. 33/2013 il Capo I-Ter – «Pubblicazione dei dati, delle informazioni e dei documenti», con l’intento di raccogliere al suo interno anche gli articoli dedicati alla qualità delle informazioni (art. 6); ai criteri di apertura e di riutilizzo dei dati, anche nel rispetto dei principi sul trattamento dei dati personali (artt. 7 e 7-bis); alla decorrenza e durata degli obblighi di pubblicazione (art. 8); alle modalità di accesso alle informazioni pubblicate nei siti (art. 9).  In tal senso si ribadisce, anzitutto, l’importanza di osservare i criteri di qualità delle informazioni pubblicate sui siti istituzionali ai sensi dell’art. 6 del d.lgs. 33/2013: integrità, costante aggiornamento, completezza, tempestività, semplicità di consultazione, comprensibilità, omogeneità, facile accessibilità, conformità ai documenti originali, indicazione della provenienza e riutilizzabilità. Nelle more di una definizione di standard di pubblicazione sulle diverse tipologie di obblighi, da attuare secondo la procedura prevista dall’art. 48 del d.lgs. 33/2013 con lo scopo di innalzare la </w:t>
      </w:r>
      <w:proofErr w:type="gramStart"/>
      <w:r w:rsidRPr="004F1C34">
        <w:rPr>
          <w:rFonts w:ascii="Kristen ITC" w:hAnsi="Kristen ITC"/>
          <w:sz w:val="24"/>
          <w:szCs w:val="24"/>
        </w:rPr>
        <w:t>qualità  e</w:t>
      </w:r>
      <w:proofErr w:type="gramEnd"/>
      <w:r w:rsidRPr="004F1C34">
        <w:rPr>
          <w:rFonts w:ascii="Kristen ITC" w:hAnsi="Kristen ITC"/>
          <w:sz w:val="24"/>
          <w:szCs w:val="24"/>
        </w:rPr>
        <w:t xml:space="preserve"> la semplicità di consultazione </w:t>
      </w:r>
      <w:r w:rsidRPr="004F1C34">
        <w:rPr>
          <w:rFonts w:ascii="Kristen ITC" w:hAnsi="Kristen ITC"/>
          <w:sz w:val="24"/>
          <w:szCs w:val="24"/>
        </w:rPr>
        <w:lastRenderedPageBreak/>
        <w:t xml:space="preserve">dei dati, documenti ed informazioni pubblicate nella sezione “Amministrazione trasparente” si ritiene opportuno fornire, sin da subito, le seguenti indicazioni operative: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Autorità Nazionale Anticorruzione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10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1. esposizione in tabelle dei dati oggetto di pubblicazione: l’utilizzo, ove possibile, delle tabelle per l’esposizione sintetica dei dati, documenti ed informazioni aumenta, infatti, il livello di comprensibilità e di semplicità di consultazione dei dati, assicurando agli utenti della sezione “Amministrazione trasparente” la possibilità di reperire informazioni chiare e immediatamente fruibili;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2. indicazione della data di aggiornamento del dato, documento ed informazione: si ribadisce la necessità, quale regola generale, di esporre, in corrispondenza di ciascun contenuto della sezione “Amministrazione trasparente”, la data di aggiornamento, distinguendo quella di “iniziale” pubblicazione da quella del successivo aggiornamento.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Restano in ogni caso valide le indicazioni già fornite nell’allegato 2 della delibera ANAC 50/2013 in ordine ai criteri di qualità della pubblicazione dei dati, con particolare riferimento ai requisiti di completezza, formato e dati di tipo aperto. L’art. 8 del d.lgs. 33/2013 sulla decorrenza e sulla durata della pubblicazione è stato solo in parte modificato in relazione all’introduzione dell’istituto dell’accesso civico generalizzato.  La durata ordinaria della pubblicazione rimane fissata in cinque anni, decorrenti dal 1° gennaio dell’anno successivo a quello da cui decorre l’obbligo di pubblicazione (co. 3) fatti salvi i diversi termini previsti dalla normativa per specifici obblighi (art. 14, co. 2 e art. 15 co. 4) e quanto già previsto in materia di </w:t>
      </w:r>
      <w:r w:rsidRPr="004F1C34">
        <w:rPr>
          <w:rFonts w:ascii="Kristen ITC" w:hAnsi="Kristen ITC"/>
          <w:sz w:val="24"/>
          <w:szCs w:val="24"/>
        </w:rPr>
        <w:lastRenderedPageBreak/>
        <w:t xml:space="preserve">tutela dei dati personali e sulla durata della pubblicazione collegata agli effetti degli atti pubblicati.  Un’importante modifica è quella apportata all’art. 8, co. 3, dal d.lgs. 97/2016: trascorso il quinquennio o i diversi termini sopra richiamati, gli atti, i dati e le informazioni non devono essere conservati nella sezione archivio del sito che quindi viene meno. Dopo i predetti termini, la trasparenza è assicurata mediante la possibilità di presentare l’istanza di accesso civico ai sensi dell’art. 5.  Un’altra agevolazione è contemplata all’art. 8, co. 3-bis, introdotto dal d.lgs. 97/2016, ove è ammessa la possibilità che ANAC, anche su proposta del Garante per la protezione dei dati personali, fissi una durata di pubblicazione inferiore al quinquennio basandosi su una valutazione del rischio corruttivo, nonché delle esigenze di semplificazione e delle richieste di accesso presentate. L’Autorità si riserva di adottare indicazioni al riguardo, a seguito dell’implementazione dei nuovi obblighi e del nuovo istituto dell’accesso civico generalizzato.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Parte seconda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Si illustrano di seguito alcuni obblighi di pubblicazione disciplinati dal d.lgs. 33/2013, dando conto delle principali modifiche e integrazioni introdotte dal d.lgs. 97/2016. Giova ricordare che le amministrazioni, in una logica di piena apertura verso l’esterno, possono pubblicare “dati ulteriori” oltre a quelli espressamente indicati e richiesti da specifiche norme di legge.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Autorità Nazionale Anticorruzione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11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La loro pubblicazione è prevista come contenuto dei PTPCT dalla l. 190/2012 (art. 1, co. 9, </w:t>
      </w:r>
      <w:proofErr w:type="spellStart"/>
      <w:r w:rsidRPr="004F1C34">
        <w:rPr>
          <w:rFonts w:ascii="Kristen ITC" w:hAnsi="Kristen ITC"/>
          <w:sz w:val="24"/>
          <w:szCs w:val="24"/>
        </w:rPr>
        <w:t>lett</w:t>
      </w:r>
      <w:proofErr w:type="spellEnd"/>
      <w:r w:rsidRPr="004F1C34">
        <w:rPr>
          <w:rFonts w:ascii="Kristen ITC" w:hAnsi="Kristen ITC"/>
          <w:sz w:val="24"/>
          <w:szCs w:val="24"/>
        </w:rPr>
        <w:t xml:space="preserve">. f) e dall’art. 7-bis, co. 3 del medesimo d.lgs. 33/2013 laddove stabilisce che «le pubbliche amministrazioni possono disporre la pubblicazione nel proprio sito istituzionale di dati, informazioni e documenti che non hanno l'obbligo di pubblicare ai sensi del presente decreto o sulla base di specifica previsione di legge o regolamento».  Pertanto, nel rispetto dei limiti posti a tutela degli interessi pubblici e privati indicati nell’art. 5-bis del d.lgs. 33/2013 e procedendo alla indicazione in </w:t>
      </w:r>
      <w:r w:rsidRPr="004F1C34">
        <w:rPr>
          <w:rFonts w:ascii="Kristen ITC" w:hAnsi="Kristen ITC"/>
          <w:sz w:val="24"/>
          <w:szCs w:val="24"/>
        </w:rPr>
        <w:lastRenderedPageBreak/>
        <w:t xml:space="preserve">forma anonima dei dati personali eventualmente presenti, come precisato nel richiamato co. 3 dell’art. 7-bis, ogni amministrazione, in ragione delle proprie caratteristiche strutturali e funzionali, può individuare nella sezione dedicata alla trasparenza del PTPCT i dati ulteriori da pubblicare. A tal fine, ad esempio, potrebbe essere utile un’analisi delle istanze di accesso civico generalizzato. L’amministrazione potrebbe valutare opportuno pubblicare i </w:t>
      </w:r>
      <w:proofErr w:type="gramStart"/>
      <w:r w:rsidRPr="004F1C34">
        <w:rPr>
          <w:rFonts w:ascii="Kristen ITC" w:hAnsi="Kristen ITC"/>
          <w:sz w:val="24"/>
          <w:szCs w:val="24"/>
        </w:rPr>
        <w:t>dati  più</w:t>
      </w:r>
      <w:proofErr w:type="gramEnd"/>
      <w:r w:rsidRPr="004F1C34">
        <w:rPr>
          <w:rFonts w:ascii="Kristen ITC" w:hAnsi="Kristen ITC"/>
          <w:sz w:val="24"/>
          <w:szCs w:val="24"/>
        </w:rPr>
        <w:t xml:space="preserve"> frequentemente richiesti con l’accesso generalizzato.  I dati ulteriori sono pubblicati nella sotto-sezione di 1° livello “Altri contenuti” sotto-sezione di 2° livello “Dati ulteriori”, laddove non sia possibile ricondurli ad alcuna delle sotto-sezioni in cui deve articolarsi la sezione “Amministrazione trasparente”.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4. Atti di carattere normativo e amministrativo generale (art. 12</w:t>
      </w:r>
      <w:proofErr w:type="gramStart"/>
      <w:r w:rsidRPr="004F1C34">
        <w:rPr>
          <w:rFonts w:ascii="Kristen ITC" w:hAnsi="Kristen ITC"/>
          <w:sz w:val="24"/>
          <w:szCs w:val="24"/>
        </w:rPr>
        <w:t>)  Il</w:t>
      </w:r>
      <w:proofErr w:type="gramEnd"/>
      <w:r w:rsidRPr="004F1C34">
        <w:rPr>
          <w:rFonts w:ascii="Kristen ITC" w:hAnsi="Kristen ITC"/>
          <w:sz w:val="24"/>
          <w:szCs w:val="24"/>
        </w:rPr>
        <w:t xml:space="preserve"> d.lgs. 97/2016 è intervenuto sull’art. 12 del d.lgs. 33/2013, integrando il contenuto degli obblighi di pubblicazione con nuovi dati.  In particolare, l’art.12, co. 1, oltre a quanto già previsto in precedenza, dispone la pubblicazione di ogni atto – sia esso espressamente previsto da una norma di legge sia che venga adottato nell’esercizio di un autonomo potere amministrativo o gestionale, come precisato dal legislatore nel 2016 - che riguardi l’organizzazione, le funzioni, gli obiettivi, i procedimenti, l’interpretazione di disposizioni di legge che incidono sull’attività dell’amministrazione/ente e i codici di condotta2.  Con un’ulteriore modifica l’obbligo di pubblicazione è stato esplicitamente </w:t>
      </w:r>
      <w:proofErr w:type="gramStart"/>
      <w:r w:rsidRPr="004F1C34">
        <w:rPr>
          <w:rFonts w:ascii="Kristen ITC" w:hAnsi="Kristen ITC"/>
          <w:sz w:val="24"/>
          <w:szCs w:val="24"/>
        </w:rPr>
        <w:t>esteso:  a</w:t>
      </w:r>
      <w:proofErr w:type="gramEnd"/>
      <w:r w:rsidRPr="004F1C34">
        <w:rPr>
          <w:rFonts w:ascii="Kristen ITC" w:hAnsi="Kristen ITC"/>
          <w:sz w:val="24"/>
          <w:szCs w:val="24"/>
        </w:rPr>
        <w:t xml:space="preserve">) ai Piani triennali di prevenzione della corruzione e delle trasparenza nonché alle misure di prevenzione della corruzione integrative di quelle contenute nei modelli di organizzazione e gestione adottati ai sensi del decreto legislativo 8 giugno 2001, n. 231, (MOG 231), dai soggetti diversi dalle pubbliche amministrazioni e indicati all’articolo 2-bis, co. 2, del decreto legislativo 14 marzo 2013, n. 33; ciò in coerenza con quanto dispone il nuovo testo della legge n. 190 del 2012, art. 1, co. 2-bis, ove all’adozione del Piano triennale di prevenzione della corruzione prevista per le p.a. corrisponde l’adeguamento dei MOG 231 da parte delle società e degli altri enti di diritto privato, ricompresi nell’ambito di applicazione della disciplina della trasparenza; b) ai documenti di programmazione strategico-gestionale propri di ogni ente, con tali intendendosi gli atti di indirizzo generali quali, ad esempio, le direttive sull’azione amministrativa adottate dai Ministri;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2 Tra gli atti amministrativi generali si segnala anche il Manuale di gestione del protocollo informatico, dei flussi documentali e degli archivi, la cui pubblicazione sul sito istituzionale è espressamente prevista dall’art. 5 co. 3 del DPCM 3 dicembre </w:t>
      </w:r>
      <w:r w:rsidRPr="004F1C34">
        <w:rPr>
          <w:rFonts w:ascii="Kristen ITC" w:hAnsi="Kristen ITC"/>
          <w:sz w:val="24"/>
          <w:szCs w:val="24"/>
        </w:rPr>
        <w:lastRenderedPageBreak/>
        <w:t>2013 Regole tecniche per il protocollo informatico ai sensi degli articoli 40 -</w:t>
      </w:r>
      <w:proofErr w:type="gramStart"/>
      <w:r w:rsidRPr="004F1C34">
        <w:rPr>
          <w:rFonts w:ascii="Kristen ITC" w:hAnsi="Kristen ITC"/>
          <w:sz w:val="24"/>
          <w:szCs w:val="24"/>
        </w:rPr>
        <w:t>bis ,</w:t>
      </w:r>
      <w:proofErr w:type="gramEnd"/>
      <w:r w:rsidRPr="004F1C34">
        <w:rPr>
          <w:rFonts w:ascii="Kristen ITC" w:hAnsi="Kristen ITC"/>
          <w:sz w:val="24"/>
          <w:szCs w:val="24"/>
        </w:rPr>
        <w:t xml:space="preserve"> 41, 47, 57 -bis e 71, del Codice dell’amministrazione digitale di cui al decreto legislativo n. 82 del 2005.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Autorità Nazionale Anticorruzione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12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c) agli atti degli Organismi indipendenti di valutazione. Equiparati a questi atti vanno considerati anche quelli degli organismi che svolgono funzioni analoghe agli OIV. La pubblicazione di tali dati è prevista anche nell’art. 31 rubricato «Obblighi di pubblicazione concernenti i dati relativi ai controlli sull'organizzazione e sull'attività dell'amministrazione». Per ragioni di semplificazione, pertanto, gli atti degli OIV, e degli organismi che svolgono funzioni analoghe, vanno pubblicati una sola volta nella sotto-sezione “Controlli e rilievi sull’amministrazione”.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5. Obblighi di pubblicazione concernenti l'organizzazione e l’attività 5.1. Art. 15- Titolari di incarichi di collaborazione o </w:t>
      </w:r>
      <w:proofErr w:type="gramStart"/>
      <w:r w:rsidRPr="004F1C34">
        <w:rPr>
          <w:rFonts w:ascii="Kristen ITC" w:hAnsi="Kristen ITC"/>
          <w:sz w:val="24"/>
          <w:szCs w:val="24"/>
        </w:rPr>
        <w:t>consulenza  Con</w:t>
      </w:r>
      <w:proofErr w:type="gramEnd"/>
      <w:r w:rsidRPr="004F1C34">
        <w:rPr>
          <w:rFonts w:ascii="Kristen ITC" w:hAnsi="Kristen ITC"/>
          <w:sz w:val="24"/>
          <w:szCs w:val="24"/>
        </w:rPr>
        <w:t xml:space="preserve"> la modifica apportata dall’art. 14 del d.lgs. 97/2016, l’art. 15 del d.lgs. 33/2013 disciplina ora solamente la pubblicazione dei dati relativi agli incarichi di collaborazione e di consulenza conferiti e affidati a soggetti esterni a qualsiasi titolo, sia oneroso che gratuito. L’articolo, cioè, non riguarda più gli obblighi di pubblicazione dei dati sui dirigenti ora regolati dal novellato articolo 14, co. 1 bis e 1 ter.  I dati da pubblicare sono rimasti immutati rispetto alla precedente formulazione dell’art. 15.  Si ricorda che i compensi sono da pubblicare al lordo di oneri sociali e fiscali a carico del collaboratore e consulente. Si precisa, altresì, che agli obblighi indicati all’art. 15 si aggiunge quello relativo all’attestazione dell’avvenuta verifica dell’insussistenza di situazioni di conflitto di interessi, anche potenziale, stabilito dall’art. 53, co. 14 del d.lgs. 165/2001.  Si ritiene utile sottolineare che all’interno della sotto-sezione “Consulenti e collaboratori” di cui all’art. 15 in esame, devono essere pubblicati i dati relativi agli incarichi e alle consulenze che non siano riconducibili al “Contratto </w:t>
      </w:r>
      <w:r w:rsidRPr="004F1C34">
        <w:rPr>
          <w:rFonts w:ascii="Kristen ITC" w:hAnsi="Kristen ITC"/>
          <w:sz w:val="24"/>
          <w:szCs w:val="24"/>
        </w:rPr>
        <w:lastRenderedPageBreak/>
        <w:t xml:space="preserve">di appalto di servizi” assoggettato alla disciplina dettata nel codice dei contratti (d.lgs. 50/2016). Diversamente, qualora i dati si riferiscano ad incarichi riconducibili alla nozione di appalto di servizio, si applica l’art. 37 del d.lgs. 33/2013, prevedendo la pubblicazione dei dati ivi indicati nella sotto-sezione di primo livello “Bandi di gara e contratti”. Giova, altresì, sottolineare che gli incarichi conferiti o autorizzati da un’amministrazione ai propri dipendenti rimangono disciplinati dall’art. 18 del d.lgs. 33/2013 e devono essere pubblicati nella diversa sotto-sezione “Personale” - “Incarichi conferiti e autorizzati ai dipendenti”.  Tenuto conto della eterogeneità degli incarichi di consulenza e dell’esistenza di fattispecie di dubbia qualificazione come tali, si rammenta che l’Autorità ha già ricondotto agli incarichi di collaborazione e consulenza di cui assicurare la pubblicazione sui siti quelli conferiti ai commissari esterni membri di commissioni concorsuali, quelli di componenti del Collegio sindacale, quelli di componenti del Collegio dei revisori dei conti.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5.2. Art. 15-ter – Amministratori e esperti nominati da organi giurisdizionali o amministrativi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Ai sensi dell’art. 15-ter sono previsti nuovi obblighi di pubblicazione concernenti soggetti nominati dall'Autorità giudiziaria, dall’Agenzia nazionale per l'amministrazione e la destinazione dei beni sequestrati e confiscati alla criminalità organizzata e dalle Prefetture.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Autorità Nazionale Anticorruzione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13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In particolare ai sensi del co. 1, il Ministero della giustizia tiene, con modalità informatiche ed inserito in un’area pubblica del proprio sito istituzionale, l'Albo degli amministratori giudiziari, di cui all’articolo 1 del decreto legislativo 4 febbraio 2010, n. 14. Al fine di favorire la reperibilità dei dati è opportuno che nella sezione “Amministrazione trasparente” del sito istituzionale del Ministero della Giustizia sia creata una sotto-sezione, all’interno di “Consulenti e collaboratori” denominata </w:t>
      </w:r>
      <w:r w:rsidRPr="004F1C34">
        <w:rPr>
          <w:rFonts w:ascii="Kristen ITC" w:hAnsi="Kristen ITC"/>
          <w:sz w:val="24"/>
          <w:szCs w:val="24"/>
        </w:rPr>
        <w:lastRenderedPageBreak/>
        <w:t>“Amministratori ed esperti</w:t>
      </w:r>
      <w:proofErr w:type="gramStart"/>
      <w:r w:rsidRPr="004F1C34">
        <w:rPr>
          <w:rFonts w:ascii="Kristen ITC" w:hAnsi="Kristen ITC"/>
          <w:sz w:val="24"/>
          <w:szCs w:val="24"/>
        </w:rPr>
        <w:t>” ,</w:t>
      </w:r>
      <w:proofErr w:type="gramEnd"/>
      <w:r w:rsidRPr="004F1C34">
        <w:rPr>
          <w:rFonts w:ascii="Kristen ITC" w:hAnsi="Kristen ITC"/>
          <w:sz w:val="24"/>
          <w:szCs w:val="24"/>
        </w:rPr>
        <w:t xml:space="preserve"> cui collegare tramite link le sezioni del sito istituzionale contenente i dati previsti dall’art. 15-ter., co. 1 e 3. Precisazioni sono fornite in ordine ai contenuti del registro nazionale nel quale confluiscono i provvedimenti di nomina dei curatori, dei commissari giudiziali e dei liquidatori giudiziali, tenuto dal Ministero della giustizia con modalità informatiche e accessibile al pubblico.  L’Agenzia nazionale per l'amministrazione e la destinazione dei beni sequestrati e confiscati alla criminalità organizzata pubblica gli incarichi conferiti ai tecnici e agli altri soggetti qualificati che la coadiuvano nell’attività di amministrazione dei beni confiscati, nonché i compensi a ciascuno di essi liquidati. L’Agenzia è tenuta a creare all’interno della propria sezione “Amministrazione trasparente” una sotto-sezione, all’interno di “Consulenti e collaboratori” denominata “Amministratori ed esperti”. L’obbligo può intendersi assolto anche attraverso un collegamento tramite link ad altra sezione del sito.  Le Prefetture, ai sensi del co. 4, pubblicano i provvedimenti di nomina e di quantificazione dei compensi degli amministratori e degli esperti nominati da parte dei Prefetti, ai sensi dell’art. 32 del </w:t>
      </w:r>
      <w:proofErr w:type="spellStart"/>
      <w:r w:rsidRPr="004F1C34">
        <w:rPr>
          <w:rFonts w:ascii="Kristen ITC" w:hAnsi="Kristen ITC"/>
          <w:sz w:val="24"/>
          <w:szCs w:val="24"/>
        </w:rPr>
        <w:t>d.l.</w:t>
      </w:r>
      <w:proofErr w:type="spellEnd"/>
      <w:r w:rsidRPr="004F1C34">
        <w:rPr>
          <w:rFonts w:ascii="Kristen ITC" w:hAnsi="Kristen ITC"/>
          <w:sz w:val="24"/>
          <w:szCs w:val="24"/>
        </w:rPr>
        <w:t xml:space="preserve"> 90/2014. Si tratta dei commissari straordinari di cui al co. 2 dell’art. 32 e degli esperti di cui al co. 8 dell’art. 32 che hanno il compito di svolgere funzioni di sostegno e monitoraggio dell'impresa.  Le Prefetture creano nella sezione “Amministrazione trasparente” una sotto-sezione all’interno di “Consulenti e collaboratori” denominata “Amministratori ed esperti ex art. 32 </w:t>
      </w:r>
      <w:proofErr w:type="spellStart"/>
      <w:r w:rsidRPr="004F1C34">
        <w:rPr>
          <w:rFonts w:ascii="Kristen ITC" w:hAnsi="Kristen ITC"/>
          <w:sz w:val="24"/>
          <w:szCs w:val="24"/>
        </w:rPr>
        <w:t>d.l.</w:t>
      </w:r>
      <w:proofErr w:type="spellEnd"/>
      <w:r w:rsidRPr="004F1C34">
        <w:rPr>
          <w:rFonts w:ascii="Kristen ITC" w:hAnsi="Kristen ITC"/>
          <w:sz w:val="24"/>
          <w:szCs w:val="24"/>
        </w:rPr>
        <w:t xml:space="preserve"> 90/2014” in cui pubblicare i dati in questione suddivisi per annualità e per tipologia di incarico.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5.3. Art. 19 - Bandi di concorso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L’art. 18 del d.lgs. 97/2016 ha modificato l’art. 19 del d.lgs. 33/2013 ribadendo la pubblicazione dei bandi di concorso per il reclutamento, a qualsiasi titolo, di personale presso l’amministrazione.  In relazione ad ogni bando è stato introdotto l’obbligo di pubblicare anche “i criteri di valutazione della Commissione e delle tracce delle prove scritte”. Scopo della norma è quello di rendere trasparente il processo di valutazione della Commissione anche in relazione ad esigenze di tutela degli interessati.  I criteri e le modalità di valutazione delle prove concorsuali, da definirsi ai sensi della normativa vigente, è opportuno siano pubblicati tempestivamente non appena disponibili.  Le tracce delle prove scritte, invece, non possono che essere pubblicate dopo lo svolgimento delle prove.  Si precisa che la pubblicazione dei bandi espletati, ai sensi dell’art. 8, co. 3, del d.lgs. 33/2013, deve rimanere rintracciabile sul sito per cinque anni, a partire dal primo gennaio dell’anno successivo a quello in cui occorre procedere alla pubblicazione.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lastRenderedPageBreak/>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Autorità Nazionale Anticorruzione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14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5.4. Art. 22- Dati relativi agli enti pubblici vigilati, e agli enti di diritto privato in controllo pubblico, nonché alle partecipazioni in società di diritto privato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Le modifiche introdotte all’art. 22 dal d.lgs. 97/2016 hanno interessato sia gli obblighi di trasparenza posti in capo alle amministrazioni con riguardo alle società a cui partecipano, nella direzione di un loro rafforzamento, sia il regime sanzionatorio nei casi di violazione degli obblighi contenuti nel medesimo articolo. La norma va letta in stretto coordinamento con le disposizioni del d.lgs. 175/2016 «Testo unico in materia di società a partecipazione pubblica», cui il d.lgs. 33/2013 fa esplicito rinvio. Si precisa che l’art. 22 viene qui esaminato solo con riferimento agli obblighi di pubblicazione dei dati delle pubbliche amministrazioni, come individuate nella parte prima - paragrafo 1 - delle presenti Linee guida. Quanto agli obblighi di pubblicazione dei dati da parte delle società e degli enti di diritto privato si rinvia alle apposite Linee guida in corso di adozione. Per quanto concerne i dati da pubblicare, si segnalano le seguenti integrazioni, in aggiunta a quanto già previsto in precedenza, introdotte sia nel d.lgs. 33/2013, sia nel d.lgs. 175/2016 citato: a) ai sensi della lettera d-bis) introdotta nel co. 1 dell’art. 22, le amministrazioni sono ora tenute a pubblicare anche «i provvedimenti in materia di costituzione di società a partecipazione pubblica, acquisto di partecipazioni in società già costituite, gestione delle partecipazioni pubbliche, alienazione di partecipazioni sociali, quotazione di società a controllo pubblico in mercati regolamentati e razionalizzazione periodica delle partecipazioni pubbliche, previsti dal decreto legislativo adottato ai sensi dell'articolo 18 della legge 7 agosto 2015, n. 124», ossia il d.lgs. 175/2016;  b) ai sensi del decreto legislativo 19 agosto 2016 n. 175 «Testo unico in materia di società a partecipazione pubblica», a cui la lettera d-bis) rinvia, le pubbliche amministrazioni titolari di partecipazioni di controllo in società, oltre che </w:t>
      </w:r>
      <w:r w:rsidRPr="004F1C34">
        <w:rPr>
          <w:rFonts w:ascii="Kristen ITC" w:hAnsi="Kristen ITC"/>
          <w:sz w:val="24"/>
          <w:szCs w:val="24"/>
        </w:rPr>
        <w:lastRenderedPageBreak/>
        <w:t xml:space="preserve">le medesime società, sono tenute a pubblicare i provvedimenti e i contratti di cui ai co. 5 e 6 dell’art. 19 del d.lgs. 175/2016. Si tratta dei provvedimenti con cui le amministrazioni fissano, per le società in controllo pubblico, gli obiettivi specifici, annuali e pluriennali, sul complesso delle spese di funzionamento, ivi incluse quelle per il personale e dei provvedimenti con cui le società in controllo pubblico recepiscono gli obiettivi relativi alle spese di funzionamento fissati dalle pubbliche amministrazioni. Tali documenti sono quindi pubblicati dalle amministrazioni titolari di partecipazioni di controllo in società (nonché dalle società), anche mediante collegamento ipertestuale, nella sotto-sezione di secondo livello “Società partecipate/provvedimenti società partecipate” della sezione “Amministrazione trasparente” (ai sensi dell’art. 26, co. 6 del d.lgs. 175/2016, l’art. 19 del medesimo decreto non si applica alle società a partecipazione pubblica derivanti da una sperimentazione gestionale costituite ai sensi dell'articolo 9-bis del decreto legislativo 30 dicembre 1992, n. 502). Per quanto concerne il regime delle sanzioni, si evidenziano di seguito le sole novità. Per i casi di mancata o incompleta pubblicazione dei provvedimenti di cui ai commi 5 e 6 dell’art. 19 del d.lgs. 175/2016, il co. 7 del medesimo articolo prevede l’applicazione delle sanzioni disposte dall'art. 22, co. 4 del d.lgs. 33/2013 (divieto di erogare somme), dall’art. 46 (responsabilità dirigenziale, eventuale causa di responsabilità per danno all'immagine dell'amministrazione, valutazione ai fini della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Autorità Nazionale Anticorruzione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15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proofErr w:type="gramStart"/>
      <w:r w:rsidRPr="004F1C34">
        <w:rPr>
          <w:rFonts w:ascii="Kristen ITC" w:hAnsi="Kristen ITC"/>
          <w:sz w:val="24"/>
          <w:szCs w:val="24"/>
        </w:rPr>
        <w:t>corresponsione</w:t>
      </w:r>
      <w:proofErr w:type="gramEnd"/>
      <w:r w:rsidRPr="004F1C34">
        <w:rPr>
          <w:rFonts w:ascii="Kristen ITC" w:hAnsi="Kristen ITC"/>
          <w:sz w:val="24"/>
          <w:szCs w:val="24"/>
        </w:rPr>
        <w:t xml:space="preserve"> della retribuzione di risultato e del trattamento accessorio collegato alla performance individuale dei responsabili) e dall’art. 47, co. 2, (sanzione amministrativa pecuniaria). Risultano, inoltre, modificate le ipotesi di applicabilità della sanzione di cui all’art. 22, co. 4 consistente nel divieto, da parte delle pubbliche amministrazioni, di erogare somme a qualsiasi titolo in favore di enti pubblici istituiti, vigilati o finanziati, enti di diritto privato in controllo pubblico e società partecipate.  In primo luogo, il co. 4, nella nuova formulazione, chiarisce, riprendendo uno degli orientamenti espressi da ANAC, che il divieto di erogare somme non si applica ai «pagamenti che le amministrazioni sono tenute ad erogare </w:t>
      </w:r>
      <w:r w:rsidRPr="004F1C34">
        <w:rPr>
          <w:rFonts w:ascii="Kristen ITC" w:hAnsi="Kristen ITC"/>
          <w:sz w:val="24"/>
          <w:szCs w:val="24"/>
        </w:rPr>
        <w:lastRenderedPageBreak/>
        <w:t xml:space="preserve">a fronte di obbligazioni contrattuali per prestazioni svolte in loro favore da parte di uno degli enti e società indicati nelle categorie di cui al comma 1, lettere da a) a c)». In secondo luogo, l’abrogazione operata dall’art. 21 del d.lgs. 97/2016 al riferimento alla pubblicazione dei dati di cui agli artt. 14 e 15 da parte degli enti pubblici vigilati istituiti, vigilati o finanziati dalle pubbliche amministrazioni e delle società, prima contenuto al co. 3 dell’art. 22, consente di ritenere che l’omessa pubblicazione dei citati dati non comporta più l’applicazione della specifica sanzione del divieto di erogare somme qualora nei siti degli enti o delle società si riscontri la mancata o incompleta pubblicazione dei dati, documenti e informazioni disposte dagli artt. 14 e 15 del d.lgs. 33/2013. Ne consegue che a seguito delle modifiche introdotte all’art. 22 dal d.lgs. 97/2016, la sanzione relativa al divieto di erogare somme da parte delle amministrazioni si applica nei confronti di tutti gli enti e le società indicati nell’art. 22, co. 1, </w:t>
      </w:r>
      <w:proofErr w:type="spellStart"/>
      <w:r w:rsidRPr="004F1C34">
        <w:rPr>
          <w:rFonts w:ascii="Kristen ITC" w:hAnsi="Kristen ITC"/>
          <w:sz w:val="24"/>
          <w:szCs w:val="24"/>
        </w:rPr>
        <w:t>lett</w:t>
      </w:r>
      <w:proofErr w:type="spellEnd"/>
      <w:r w:rsidRPr="004F1C34">
        <w:rPr>
          <w:rFonts w:ascii="Kristen ITC" w:hAnsi="Kristen ITC"/>
          <w:sz w:val="24"/>
          <w:szCs w:val="24"/>
        </w:rPr>
        <w:t xml:space="preserve">. da a) a c) solo nei casi in cui l’omessa o incompleta pubblicazione dei dati indicati nel comma 2 del medesimo articolo dipendano dalla mancata comunicazione degli stessi dati da parte degli enti e delle società, qualora tali dati non siano già nella diretta disponibilità delle amministrazioni.  Pertanto, le amministrazioni, prima dell’erogazione di somme a qualsiasi titolo nei confronti di uno degli enti e delle società di cui all’art. 22, sono tenute a verificare sul proprio sito web, eventualmente consultando il proprio Responsabile della prevenzione della corruzione e della trasparenza o l’OIV, se effettivamente tutti i dati previsti dall’art. 22 del d.lgs. 33/2013 risultano pubblicati sul proprio sito.  E’ opportuno, inoltre, rilevare che il d.lgs. 97/2016 ha modificato il co. 6 dell’art. 22 sull’ambito di applicazione della norma prevedendo ora che essa non si applica alle società partecipate da amministrazioni pubbliche con azioni quotate in mercati regolamentati italiani o di altri paesi dell’UE, e loro controllate. Al riguardo, è da ritenersi prevalente rispetto alla disposizione dell’art. 22, co. 6, la specifica previsione contenuta nell’art. 2-bis, co. 2, </w:t>
      </w:r>
      <w:proofErr w:type="spellStart"/>
      <w:r w:rsidRPr="004F1C34">
        <w:rPr>
          <w:rFonts w:ascii="Kristen ITC" w:hAnsi="Kristen ITC"/>
          <w:sz w:val="24"/>
          <w:szCs w:val="24"/>
        </w:rPr>
        <w:t>lett</w:t>
      </w:r>
      <w:proofErr w:type="spellEnd"/>
      <w:r w:rsidRPr="004F1C34">
        <w:rPr>
          <w:rFonts w:ascii="Kristen ITC" w:hAnsi="Kristen ITC"/>
          <w:sz w:val="24"/>
          <w:szCs w:val="24"/>
        </w:rPr>
        <w:t xml:space="preserve">. b) del d.lgs. 33/2013 che, a proposito delle società in controllo pubblico, esclude quelle quotate, come definite dal d.lgs. 175/2016, dall’applicazione della disciplina in materia di trasparenza. Pertanto, visto il difetto di coordinamento testuale, la disposizione dell’art. 22, co. 6, si ritiene debba essere interpretata con riferimento alla definizione di società quotata quale </w:t>
      </w:r>
      <w:proofErr w:type="gramStart"/>
      <w:r w:rsidRPr="004F1C34">
        <w:rPr>
          <w:rFonts w:ascii="Kristen ITC" w:hAnsi="Kristen ITC"/>
          <w:sz w:val="24"/>
          <w:szCs w:val="24"/>
        </w:rPr>
        <w:t>risulta  all’art.</w:t>
      </w:r>
      <w:proofErr w:type="gramEnd"/>
      <w:r w:rsidRPr="004F1C34">
        <w:rPr>
          <w:rFonts w:ascii="Kristen ITC" w:hAnsi="Kristen ITC"/>
          <w:sz w:val="24"/>
          <w:szCs w:val="24"/>
        </w:rPr>
        <w:t xml:space="preserve"> 2, co.1, </w:t>
      </w:r>
      <w:proofErr w:type="spellStart"/>
      <w:r w:rsidRPr="004F1C34">
        <w:rPr>
          <w:rFonts w:ascii="Kristen ITC" w:hAnsi="Kristen ITC"/>
          <w:sz w:val="24"/>
          <w:szCs w:val="24"/>
        </w:rPr>
        <w:t>lett</w:t>
      </w:r>
      <w:proofErr w:type="spellEnd"/>
      <w:r w:rsidRPr="004F1C34">
        <w:rPr>
          <w:rFonts w:ascii="Kristen ITC" w:hAnsi="Kristen ITC"/>
          <w:sz w:val="24"/>
          <w:szCs w:val="24"/>
        </w:rPr>
        <w:t xml:space="preserve">. p), del d.lgs. 175/2016, che considera quotate sia le società con azioni quotate in mercati regolamentati sia quelle che hanno emesso strumenti finanziari alla data del 31 dicembre 2015.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Autorità Nazionale Anticorruzione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lastRenderedPageBreak/>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16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Da ciò ne consegue che, ad eccezione delle società quotate come identificate ai sensi del citato art. 2, co. 1, </w:t>
      </w:r>
      <w:proofErr w:type="spellStart"/>
      <w:r w:rsidRPr="004F1C34">
        <w:rPr>
          <w:rFonts w:ascii="Kristen ITC" w:hAnsi="Kristen ITC"/>
          <w:sz w:val="24"/>
          <w:szCs w:val="24"/>
        </w:rPr>
        <w:t>lett</w:t>
      </w:r>
      <w:proofErr w:type="spellEnd"/>
      <w:r w:rsidRPr="004F1C34">
        <w:rPr>
          <w:rFonts w:ascii="Kristen ITC" w:hAnsi="Kristen ITC"/>
          <w:sz w:val="24"/>
          <w:szCs w:val="24"/>
        </w:rPr>
        <w:t xml:space="preserve">. p) del d.lgs. 175/2016, l’art. 22 si applica a tutte le altre società partecipate da pubbliche amministrazioni, anche a quelle che hanno emesso strumenti finanziari dopo il 31 dicembre 2015.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5.5. Art. 23- Provvedimenti amministrativi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L’art. 23, co. 1 del d.l.gs 33 del 2013 è stato modificato dall’art. 22 del d.lgs. 97/2016. Quest’ultimo ha abrogato le disposizioni dell’art. 23 sulla pubblicazione degli elenchi dei provvedimenti finali dei procedimenti relativi a autorizzazioni e concessioni, concorsi e prove selettive del personale e progressioni di carriera.  Pur rilevandosi un difetto di coordinamento con la legge 190/2012, che all’art. 1, co. 16, </w:t>
      </w:r>
      <w:proofErr w:type="spellStart"/>
      <w:r w:rsidRPr="004F1C34">
        <w:rPr>
          <w:rFonts w:ascii="Kristen ITC" w:hAnsi="Kristen ITC"/>
          <w:sz w:val="24"/>
          <w:szCs w:val="24"/>
        </w:rPr>
        <w:t>lett</w:t>
      </w:r>
      <w:proofErr w:type="spellEnd"/>
      <w:r w:rsidRPr="004F1C34">
        <w:rPr>
          <w:rFonts w:ascii="Kristen ITC" w:hAnsi="Kristen ITC"/>
          <w:sz w:val="24"/>
          <w:szCs w:val="24"/>
        </w:rPr>
        <w:t xml:space="preserve">. a e d), continua a fare riferimento alla trasparenza dei suddetti procedimenti, tali obblighi devono ritenersi abrogati. Resta ferma la possibilità di esercitare il diritto di accesso civico generalizzato ai provvedimenti sopra indicati, ai sensi degli artt. 5, co. 2 e 5-bis del d.lgs. 33/2013.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5.6. Art. 24- Dati aggregati relativi all’attività amministrativa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L’art. 43 del d.lgs. 97/2016 ha abrogato l’intero art. 24 del d.lgs. 33/2013 che si riferiva alla pubblicazione sia dei dati aggregati sull’attività amministrativa sia dei risultati del monitoraggio periodico concernente il rispetto dei tempi procedimentali effettuato ai sensi dell’art. 1, co. 28, della l. 190/2012. Pur rilevandosi un difetto di coordinamento con la l. 190/2012, si precisa che il monitoraggio periodico concernente il rispetto dei tempi procedimentali, in </w:t>
      </w:r>
      <w:proofErr w:type="gramStart"/>
      <w:r w:rsidRPr="004F1C34">
        <w:rPr>
          <w:rFonts w:ascii="Kristen ITC" w:hAnsi="Kristen ITC"/>
          <w:sz w:val="24"/>
          <w:szCs w:val="24"/>
        </w:rPr>
        <w:t>virtù  dell’art.</w:t>
      </w:r>
      <w:proofErr w:type="gramEnd"/>
      <w:r w:rsidRPr="004F1C34">
        <w:rPr>
          <w:rFonts w:ascii="Kristen ITC" w:hAnsi="Kristen ITC"/>
          <w:sz w:val="24"/>
          <w:szCs w:val="24"/>
        </w:rPr>
        <w:t xml:space="preserve"> 1, co. 28, della l. 190/2012, costituisce, comunque, misura necessaria di prevenzione della corruzione.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lastRenderedPageBreak/>
        <w:t xml:space="preserve">5.7. Art 26 - Atti di concessione di sovvenzioni, </w:t>
      </w:r>
      <w:proofErr w:type="gramStart"/>
      <w:r w:rsidRPr="004F1C34">
        <w:rPr>
          <w:rFonts w:ascii="Kristen ITC" w:hAnsi="Kristen ITC"/>
          <w:sz w:val="24"/>
          <w:szCs w:val="24"/>
        </w:rPr>
        <w:t>contributi ,</w:t>
      </w:r>
      <w:proofErr w:type="gramEnd"/>
      <w:r w:rsidRPr="004F1C34">
        <w:rPr>
          <w:rFonts w:ascii="Kristen ITC" w:hAnsi="Kristen ITC"/>
          <w:sz w:val="24"/>
          <w:szCs w:val="24"/>
        </w:rPr>
        <w:t xml:space="preserve"> sussidi e attribuzione di vantaggi economici a persone fisiche ed enti pubblici e privati - Art. 27 Elenco dei soggetti beneficiari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In virtù di quanto disposto dall’art. 26, resta fermo l’obbligo per le amministrazioni di provvedere alla pubblicazione sia degli atti con i quali sono determinati i criteri e le modalità per la concessione di sovvenzioni, contributi, sussidi ausili finanziari e vantaggi economici in favore di soggetti pubblici o privati, sia i medesimi atti di concessione di importo superiore a 1.000 euro. Al riguardo si rinvia a quanto già indicato dall’ ANAC con la delibera 59/2013.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Si ricorda che la pubblicazione è condizione di efficacia dei provvedimenti e quindi deve avvenire tempestivamente e, comunque, prima della liquidazione delle somme oggetto del provvedimento. Il d.lgs. 97/2016 è, invece, intervenuto sul co. 3 dell’art. 26 facendo venir meno la responsabilità amministrativa, patrimoniale e contabile dei dirigenti per l’indebita concessione o attribuzione del beneficio nei casi di omessa o incompleta pubblicazione dei provvedimenti di concessione di importo superiore a 1.000 euro. Giova evidenziare, inoltre, che l’art. 43 del medesimo decreto ha abrogato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Autorità Nazionale Anticorruzione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17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proofErr w:type="gramStart"/>
      <w:r w:rsidRPr="004F1C34">
        <w:rPr>
          <w:rFonts w:ascii="Kristen ITC" w:hAnsi="Kristen ITC"/>
          <w:sz w:val="24"/>
          <w:szCs w:val="24"/>
        </w:rPr>
        <w:t>l'articolo</w:t>
      </w:r>
      <w:proofErr w:type="gramEnd"/>
      <w:r w:rsidRPr="004F1C34">
        <w:rPr>
          <w:rFonts w:ascii="Kristen ITC" w:hAnsi="Kristen ITC"/>
          <w:sz w:val="24"/>
          <w:szCs w:val="24"/>
        </w:rPr>
        <w:t xml:space="preserve"> 1 del decreto del Presidente della Repubblica 7 aprile 2000, n. 118 che disponeva l’istituzione degli Albi dei beneficiari di provvidenze di natura economica, obbligo da ritenersi quindi assorbito dalle previsione degli artt. 26 e 27.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6. Obblighi di pubblicazione concernenti l'uso delle risorse pubbliche 6.1. Art. 4 bis Trasparenza nell’utilizzo delle risorse pubbliche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Con l’art. 5 del d.lgs. 97/2016 è stato inserito l’art. 4-bis del d.lgs. 33/2013 concernente </w:t>
      </w:r>
      <w:r w:rsidRPr="004F1C34">
        <w:rPr>
          <w:rFonts w:ascii="Kristen ITC" w:hAnsi="Kristen ITC"/>
          <w:sz w:val="24"/>
          <w:szCs w:val="24"/>
        </w:rPr>
        <w:lastRenderedPageBreak/>
        <w:t xml:space="preserve">la trasparenza nell'utilizzo delle risorse pubbliche. La nuova disposizione, al co. 1, prevede che, al fine di promuovere l’accesso e migliorare la comprensione dei dati sulla spesa delle pubbliche amministrazioni, l’Agenzia per l’Italia digitale (AGID) gestisca, d’intesa con il Ministero dell’economia e delle finanze, il sito internet denominato “Soldi pubblici”, tramite il quale è possibile accedere ai dati degli incassi e dei pagamenti delle pubbliche amministrazioni e consultarli in relazione alla tipologia di spesa sostenuta, alle amministrazioni che l’hanno effettuata, nonché all’ambito temporale di riferimento. Si tratta di un portale web, “Soldi pubblici”, attualmente esistente (link http://soldipubblici.gov.it/), che raccoglie i dati di cassa, di entrata e di uscita, rilevati dal Sistema informativo sulle operazioni degli enti pubblici (SIOPE)3 e li pubblica dopo averli previamente rielaborati nella forma. La consultazione di “Soldi pubblici” consente, pertanto, l’accesso “puntuale”, quindi la “trasparenza”, ai dati sull’utilizzo delle risorse pubbliche, con riferimento alla “natura economica” della spesa4 e con aggiornamento mensile5. Nessuna indicazione, invece, al momento è possibile avere sui beneficiari.  La disposizione di cui al comma 2 prevede, poi, che ogni amministrazione pubblichi, in una parte chiaramente identificabile della sezione “Amministrazione trasparente”, i dati sui propri pagamenti, permettendone la consultazione in relazione alla tipologia di spesa sostenuta, all'ambito temporale di riferimento e ai beneficiari. Occorre, peraltro, evidenziare che l’omessa pubblicazione dei dati comporta l’applicazione della sanzione pecuniaria di cui all’art. 47 del d.lgs. 33/2013.  Fermo restando l’esigenza che il legislatore intervenga per chiarire il contenuto effettivo dei dati indicati nella disposizione, l’Autorità ritiene in questa fase necessario fornire alcune prime indicazioni. Ai fini della individuazione della “tipologia di spesa sostenuta”, è opportuno, per il momento, che ciascuna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3 Il SIOPE (Sistema informativo delle operazioni degli enti pubblici) è la piattaforma realizzata sulla base di una convenzione tra la Ragioneria Generale dello Stato e la Banca d’Italia, sulla quale ogni Tesoriere dell’Ente, cioè chi cura materialmente le operazioni, riporta ogni giorno i pagamenti effettuati, con l’obiettivo di rendere disponibile un archivio di informazioni riguardante gli incassi e i pagamenti delle Amministrazioni pubbliche. 4 Ciascun pagamento è associato ad uno specifico codice gestionale con il quale gli enti specificano la natura economica dell’operazione (es. spesa per retribuzione del personale o utenze telefoniche). 5 I dati, nell’attuale versione di Soldi pubblici, sono aggiornati settimanalmente e aggregati sul mese precedente a quello in corso.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Autorità Nazionale Anticorruzione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18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Amministrazione si riferisca alle seguenti tipologie di spesa, in quanto afferenti a risorse tecniche e strumentali strettamente connesse al perseguimento della propria attività istituzionale6: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Uscite </w:t>
      </w:r>
      <w:proofErr w:type="gramStart"/>
      <w:r w:rsidRPr="004F1C34">
        <w:rPr>
          <w:rFonts w:ascii="Kristen ITC" w:hAnsi="Kristen ITC"/>
          <w:sz w:val="24"/>
          <w:szCs w:val="24"/>
        </w:rPr>
        <w:t>correnti  -</w:t>
      </w:r>
      <w:proofErr w:type="gramEnd"/>
      <w:r w:rsidRPr="004F1C34">
        <w:rPr>
          <w:rFonts w:ascii="Kristen ITC" w:hAnsi="Kristen ITC"/>
          <w:sz w:val="24"/>
          <w:szCs w:val="24"/>
        </w:rPr>
        <w:t xml:space="preserve"> Acquisto di beni e di servizi - Trasferimenti correnti - Interessi passivi - Altre spese per redditi da capitale - Altre spese correnti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Uscite in conto capitale - Investimenti fissi lordi e acquisto di terreni - Contributi agli investimenti - Altri trasferimenti in conto capitale - Altre spese in conto capitale - Acquisizioni di attività finanziarie Per ciascuna di tali tipologie di spesa, l’Amministrazione individua la natura economica7 delle spese e pubblica un prospetto con i dati sui propri pagamenti, evidenziando i nominativi dei “beneficiari” e, quale “ambito temporale di riferimento”, la data di effettivo pagamento. In assenza di una specifica indicazione normativa, ad avviso dell’Autorità, la cadenza di pubblicazione è opportuno sia in fase di prima attuazione semestrale e poi almeno trimestrale.  Per gli Enti del SSN, l’obbligo di cui al co. 2 dell’art. 4-bis, è assorbito in quello specificatamente previsto dall'art. 41, co. 1-bis; consegue, pertanto, che, al fine di evitare disparità di trattamento tra gli enti del comparto sanità e quelli di altri comparti, anche il mancato assolvimento di tale obbligo sia soggetto alle sanzioni specifiche di cui all’art. 47, co. 1-bis, secondo periodo.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6.2. Art. 29- Bilancio, preventivo e consuntivo, piano degli indicatori e risultati attesi di bilancio, dati concernenti il monitoraggio degli obiettivi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Ai sensi dell’art. 29 del d.lgs. 33/2013, le pubbliche amministrazioni pubblicano il bilancio di previsione e consuntivo, completo di allegati, entro trenta giorni dalla </w:t>
      </w:r>
      <w:r w:rsidRPr="004F1C34">
        <w:rPr>
          <w:rFonts w:ascii="Kristen ITC" w:hAnsi="Kristen ITC"/>
          <w:sz w:val="24"/>
          <w:szCs w:val="24"/>
        </w:rPr>
        <w:lastRenderedPageBreak/>
        <w:t xml:space="preserve">sua adozione. Le amministrazioni sono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6 Restano escluse, quindi, le uscite per movimentazioni di prestiti, per il personale e per partite di giro (pagamenti effettuati in conto di terzi). Non vengono ricomprese le spese per il personale in quanto espressamente escluse dall’ambito di applicazione della norma in questione e soggette, invece, agli artt. da 15 a 20 del d.lgs. 33/2013. L’interpretazione avanzata tiene conto dell’esigenza di semplificare la pubblicazione dei dati dei pagamenti, limitandola, in questa prima fase, alle tipologie di spesa a più alta necessità di monitoraggio, in quanto attinenti alle aree di rischio a rilevanza esterna: incarichi di consulenza, enti controllati, contratti pubblici di acquisizione di beni e di servizi.  7 A titolo esemplificativo, all’interno della spesa per servizi gli oggetti specifici di spesa saranno le consulenze, utilizzo di beni di terzi, manutenzione ordinaria e riparazioni, ecc.; all’interno dei trasferimenti correnti gli oggetti specifici di spesa saranno i trasferimenti correnti a imprese controllate, ecc. Ai fini della produzione del predetto prospetto le amministrazioni pubbliche potranno fare riferimento al Piano dei conti integrato di cui al DPR 132/2013 utilizzando, quale dettaglio, il IV livello e un pari livello per le altre categorie di enti soggetti alla trasparenza per i quali la RGS non ha previsto un piano di conti integrato.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Autorità Nazionale Anticorruzione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19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proofErr w:type="gramStart"/>
      <w:r w:rsidRPr="004F1C34">
        <w:rPr>
          <w:rFonts w:ascii="Kristen ITC" w:hAnsi="Kristen ITC"/>
          <w:sz w:val="24"/>
          <w:szCs w:val="24"/>
        </w:rPr>
        <w:t>tenute</w:t>
      </w:r>
      <w:proofErr w:type="gramEnd"/>
      <w:r w:rsidRPr="004F1C34">
        <w:rPr>
          <w:rFonts w:ascii="Kristen ITC" w:hAnsi="Kristen ITC"/>
          <w:sz w:val="24"/>
          <w:szCs w:val="24"/>
        </w:rPr>
        <w:t xml:space="preserve"> al rispetto di tale termine anche tenuto conto della rilevanza che, per effetto del d.lgs. 97/2016, i dati di bilancio assumono nella individuazione dei soggetti tenuti alle regole sulla trasparenza, ai sensi dell’art. 2-bis, commi 2 e 3, di cui si fa cenno in questa delibera. Il comma 1 del medesimo articolo, peraltro, al fine di assicurare la piena accessibilità e comprensibilità anche da parte dei meno esperti alla lettura delle informazioni di bilancio, richiede alle stesse amministrazioni di pubblicare, in aggiunta, i dati relativi al bilancio di previsione e a quello consuntivo in forma sintetica, aggregata e semplificata, anche con il ricorso </w:t>
      </w:r>
      <w:r w:rsidRPr="004F1C34">
        <w:rPr>
          <w:rFonts w:ascii="Kristen ITC" w:hAnsi="Kristen ITC"/>
          <w:sz w:val="24"/>
          <w:szCs w:val="24"/>
        </w:rPr>
        <w:lastRenderedPageBreak/>
        <w:t xml:space="preserve">a rappresentazioni grafiche.  Al medesimo scopo è orientata la disposizione contenuta al co. 1bis, che richiede alle amministrazioni, di pubblicare e rendere accessibili i dati relativi alle entrate e alla spesa dei bilanci preventivi e consuntivi in formato tabellare aperto in modo da consentirne l'esportazione, il trattamento e il riutilizzo. Sul punto, oltre a richiamare l’attenzione sul corretto adempimento dell’obbligo, si fa presente che ai fini della predisposizione dei relativi schemi occorre riferirsi al </w:t>
      </w:r>
      <w:proofErr w:type="spellStart"/>
      <w:r w:rsidRPr="004F1C34">
        <w:rPr>
          <w:rFonts w:ascii="Kristen ITC" w:hAnsi="Kristen ITC"/>
          <w:sz w:val="24"/>
          <w:szCs w:val="24"/>
        </w:rPr>
        <w:t>d.p.c.m</w:t>
      </w:r>
      <w:proofErr w:type="spellEnd"/>
      <w:r w:rsidRPr="004F1C34">
        <w:rPr>
          <w:rFonts w:ascii="Kristen ITC" w:hAnsi="Kristen ITC"/>
          <w:sz w:val="24"/>
          <w:szCs w:val="24"/>
        </w:rPr>
        <w:t xml:space="preserve">. 22 settembre 2014 «Definizione degli schemi e delle modalità per la pubblicazione su internet dei dati relativi alle entrate e alla spesa dei bilanci preventivi e consuntivi e dell'indicatore annuale di tempestività dei pagamenti delle pubbliche amministrazioni», aggiornato con il decreto del Ministro per la semplificazione e la pubblica amministrazione, di concerto con il Ministro dell'economia e delle finanze, del 29 aprile 2016 (GU n.139 del 16.6.2016) «Modifica del decreto del Presidente del Consiglio dei ministri del 22 settembre 2014, in materia di definizione degli schemi e delle modalità per la pubblicazione su Internet dei dati relativi alle entrate e alla spesa dei bilanci preventivi e consuntivi». Strettamente connesso, e in qualche modo complementare, alla pubblicazione integrale e semplificata dei documenti di bilancio nonché dei dati relativi alle entrate e alla spesa, risulta essere l’obbligo di pubblicazione del piano di indicatori di cui al co. 2, con cui si fornisce ai cittadini la possibilità di esercitare anche un controllo sugli obiettivi della pubblica amministrazione. Occorre, peraltro, evidenziare che il d.lgs. 126/2014, fra le diverse modifiche apportate al d.lgs. 118/2011 («Disposizioni in materia di armonizzazione dei sistemi contabili e degli schemi di bilancio delle Regioni, degli enti locali e dei loro organismi, a norma degli articoli 1 e 2 della legge 5 maggio 2009, n. 42»), ha introdotto l’art. 18-bis («Indicatori di bilancio») che, di fatto, estende anche agli enti territoriali l’obbligo di pubblicazione del Piano degli indicatori che, allo stato, in base alle indicazioni dell’art. 29, co. 3, era riservato ai soli enti di cui al d.lgs. 91/2011. Si tratta, in sostanza, di un sistema di indicatori misurabili e riferiti ai programmi quale parte integrante dei documenti di programmazione e di bilancio di ciascuna amministrazione ed è diretto a consentire la comparazione dei bilanci.  Richiamate in estrema sintesi la valenza informativa dei dati di bilancio e di quelli contenuti nel Piano degli indicatori, emerge, pertanto, l’importanza del corretto assolvimento ai predetti obblighi di pubblicazione, in quanto diretti a fornire ai cittadini una lettura facile ed immediata riguardo all’azione degli amministratori in termini di obiettivi, risultati e risorse impiegate.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lastRenderedPageBreak/>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Autorità Nazionale Anticorruzione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20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6.3. Art. 30- Beni immobili e gestione del patrimonio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L’art. 30, solo in minima parte modificato dal d.lgs. 97/2016, prevede la pubblicazione delle informazioni identificative degli immobili posseduti e, nella nuova formulazione, anche di quelli detenuti, nonché dei canoni di locazione o di affitto versati o percepiti. Ogni amministrazione è, pertanto, tenuta a rendere pubblico il patrimonio immobiliare a propria disposizione, posseduto in ragione di un titolo di proprietà o altro diritto reale di godimento o semplicemente detenuto; ciò, evidentemente, allo scopo di consentire alla collettività di valutare il corretto utilizzo delle risorse pubbliche, anche patrimoniali, nel perseguimento delle funzioni istituzionali. Si osserva, infatti, che, in generale, tutti i beni patrimoniali, non solo quelli di proprietà, generano oneri nel bilancio dell’amministrazione connessi semplicemente al loro mantenimento. Al fine di garantire una pubblicazione uniforme dei dati, è opportuno che </w:t>
      </w:r>
      <w:proofErr w:type="gramStart"/>
      <w:r w:rsidRPr="004F1C34">
        <w:rPr>
          <w:rFonts w:ascii="Kristen ITC" w:hAnsi="Kristen ITC"/>
          <w:sz w:val="24"/>
          <w:szCs w:val="24"/>
        </w:rPr>
        <w:t>le  informazioni</w:t>
      </w:r>
      <w:proofErr w:type="gramEnd"/>
      <w:r w:rsidRPr="004F1C34">
        <w:rPr>
          <w:rFonts w:ascii="Kristen ITC" w:hAnsi="Kristen ITC"/>
          <w:sz w:val="24"/>
          <w:szCs w:val="24"/>
        </w:rPr>
        <w:t xml:space="preserve"> sugli immobili siano rese sulla base dei dati catastali.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6.4. Art. 31- Dati relativi ai controlli sull'organizzazione e sull'attività dell'amministrazione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L’art. 31, come novellato dall’art. 27 del d.lgs. 97/2016, si sofferma sulla pubblicazione degli esiti dei controlli sull’attività amministrativa, prevedendo  la </w:t>
      </w:r>
      <w:proofErr w:type="spellStart"/>
      <w:r w:rsidRPr="004F1C34">
        <w:rPr>
          <w:rFonts w:ascii="Kristen ITC" w:hAnsi="Kristen ITC"/>
          <w:sz w:val="24"/>
          <w:szCs w:val="24"/>
        </w:rPr>
        <w:t>pubblicazionedi</w:t>
      </w:r>
      <w:proofErr w:type="spellEnd"/>
      <w:r w:rsidRPr="004F1C34">
        <w:rPr>
          <w:rFonts w:ascii="Kristen ITC" w:hAnsi="Kristen ITC"/>
          <w:sz w:val="24"/>
          <w:szCs w:val="24"/>
        </w:rPr>
        <w:t xml:space="preserve"> tutti gli atti degli organismi indipendenti di valutazione o nuclei di </w:t>
      </w:r>
      <w:r w:rsidRPr="004F1C34">
        <w:rPr>
          <w:rFonts w:ascii="Kristen ITC" w:hAnsi="Kristen ITC"/>
          <w:sz w:val="24"/>
          <w:szCs w:val="24"/>
        </w:rPr>
        <w:lastRenderedPageBreak/>
        <w:t xml:space="preserve">valutazione (procedendo all'indicazione in forma anonima dei dati personali eventualmente presenti), la relazione degli organi di revisione amministrativa e contabile al bilancio di previsione o budget, alle relative variazioni e al conto consuntivo o bilancio di esercizio nonché tutti i rilievi ancorché non recepiti della Corte dei Conti riguardanti l’organizzazione e l’attività delle Amministrazioni e dei loro uffici.  La disposizione è profondamente diversa da quella del testo previgente ove si disponeva che fossero pubblicati i soli “rilievi” degli organi di controllo interno nonché degli organi di revisione amministrativa e contabile, che non fossero stati “recepiti”, insieme con gli atti nei confronti dei quali detti rilievi venivano emessi. In merito all’attività di controllo della Corte dei conti, era previsto l’obbligo di pubblicazione di tutti i rilievi, ancorché recepiti, espressi dalla Corte.  Per quanto concerne l’obbligo di pubblicazione relativo agli atti degli organismi indipendenti di valutazione (OIV), che non compariva nella formulazione previgente dell’art. 31, occorre fare riferimento in via prioritaria alla disciplina istitutiva degli organismi indipendenti di valutazione della performance nelle pubbliche amministrazioni, contenuta all’art. 14 del d.lgs. 150/2009, nonché ai compiti ad essi affidati che sono elencati al co. 4, del medesimo articolo.  Ai fini degli obblighi di pubblicazione, si ritiene che assumano rilievo gli atti conclusivi adottati dagli OIV, quali, ad esempio, a titolo meramente esemplificativo, la relazione annuale sullo stato del funzionamento complessivo del sistema della valutazione, della trasparenza e integrità, la validazione della relazione sulla performance di cui all'art. 10 del d.lgs. 150/2009 e l’attestazione dell’assolvimento degli obblighi di trasparenza da parte dell’amministrazione/ente. Al riguardo, è necessario tenere conto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Autorità Nazionale Anticorruzione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21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proofErr w:type="gramStart"/>
      <w:r w:rsidRPr="004F1C34">
        <w:rPr>
          <w:rFonts w:ascii="Kristen ITC" w:hAnsi="Kristen ITC"/>
          <w:sz w:val="24"/>
          <w:szCs w:val="24"/>
        </w:rPr>
        <w:t>delle</w:t>
      </w:r>
      <w:proofErr w:type="gramEnd"/>
      <w:r w:rsidRPr="004F1C34">
        <w:rPr>
          <w:rFonts w:ascii="Kristen ITC" w:hAnsi="Kristen ITC"/>
          <w:sz w:val="24"/>
          <w:szCs w:val="24"/>
        </w:rPr>
        <w:t xml:space="preserve"> specifiche direttive che saranno adottate dal Dipartimento della funzione pubblica competente in materia di misurazione e valutazione della performance. La stessa normativa si applica, in mancanza di OIV, anche agli organismi con funzioni analoghe.  In questa sezione, si ribadisce, vanno pubblicate anche le attestazione sull’assolvimento degli obblighi di trasparenza, per le quali in precedenza, in assenza di un chiaro disposto normativo come quello ora introdotto, l’Autorità aveva dato </w:t>
      </w:r>
      <w:r w:rsidRPr="004F1C34">
        <w:rPr>
          <w:rFonts w:ascii="Kristen ITC" w:hAnsi="Kristen ITC"/>
          <w:sz w:val="24"/>
          <w:szCs w:val="24"/>
        </w:rPr>
        <w:lastRenderedPageBreak/>
        <w:t xml:space="preserve">indicazioni di pubblicazione in “Disposizioni generali”, sotto-sezione di secondo livello “Attestazioni OIV o struttura analoga (cfr. da ultimo delibera ANAC n. 43 del 20 gennaio 2016 «Attestazioni OIV, o strutture con funzioni analoghe, sull’assolvimento degli obblighi di pubblicazione al 31 gennaio 2016 e attività di vigilanza dell’Autorità»).  L’art. 31 prevede, inoltre, la pubblicazione di una serie di atti degli organi di revisione amministrativa e contabile: relazione al bilancio di previsione o budget, alle variazioni di bilancio, al conto consuntivo o bilancio di esercizio.  Infine, l’art. 31, lasciando sostanzialmente immutata la disposizione previgente, impone di pubblicare tutti i rilievi formulati dalla Corte dei conti nell’esercizio della propria funzione di controllo, sia quelli non recepiti sia quelli ai quali l’amministrazione/ente abbia ritenuto di conformarsi.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7. Obblighi di pubblicazione concernenti le prestazioni offerte e i servizi erogati 7.1. Art. 32- Dati sui servizi erogati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Le modifiche introdotte all’art. 32 dall’art. 28 del d.lgs. 97/2013 investono sia l’ambito soggettivo, estendendone l’applicazione, oltre che alle pubbliche amministrazioni, anche ai gestori di pubblici servizi, sia l’ambito oggettivo dell’obbligo semplificandone il contenuto.  In particolare, al co. 1 è stabilito che oltre alle pubbliche amministrazioni l’obbligo viene esteso anche ai gestori di servizi pubblici. L’Autorità è dell’avviso che in tale categoria di soggetti siano da intendersi i gestori, che rientrino fra i soggetti indicati all’art. 2-bis del d.lgs. n. 33/2013, che effettivamente erogano i servizi pubblici, a prescindere dalla loro natura giuridica e dalle modalità organizzative, nel rispetto dei principi fissati dalla normativa vigente in materia di qualità dei servizi pubblici (direttiva P.CO.M. 27 gennaio 1994; decreto legislativo 30 luglio 1999, n. 286, art. 11; decreto legge 24 gennaio 2012, n. 1, convertito con legge 24 marzo 2012, n. 27, art. 8).  L’obbligo di pubblicazione concerne, ai sensi del co. 1, la carta dei servizi o un documento analogo ove sono indicati i livelli minimi di qualità dei servizi e quindi gli impegni assunti nei confronti degli utenti per garantire il rispetto degli standard fissati.  La modifica apportata al co. 2 è diretta a chiarire che i medesimi soggetti (pubbliche amministrazioni e gestori dei servizi pubblici), una volta individuati annualmente i servizi erogati agli utenti sia finali sia intermedi, secondo quanto stabilito all’art. 10, co. 5, del d.lgs. 33/2013, sono tenuti a pubblicare i costi contabilizzati e il relativo andamento nel tempo, obbligo già previsto nel testo previgente.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lastRenderedPageBreak/>
        <w:t xml:space="preserve"> Autorità Nazionale Anticorruzione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22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In coerenza con l’esigenza di semplificazione di cui la norma è espressione, ai fini della pubblicazione di tali dati non è più necessario distinguere i costi imputabili al personale da quelli effettivamente sostenuti in relazione al servizio svolto, come previsto nel testo previgente del co. 2, eliminandosi così un onere di raccolta ed elaborazione spesso complesso. L’ulteriore semplificazione introdotta al co. 2 fa venir meno l’obbligo di pubblicare i tempi medi di erogazione dei servizi riferiti all’esercizio finanziario precedente. Si evidenzia, infine, che l’art. 7 co. 3 del d.lgs. 82/2005 (CO.A.D.), recentemente modificato dal d.lgs. 179/2016, con riferimento ai servizi in rete, ha introdotto l’obbligo di pubblicazione dei risultati delle rilevazioni sulla soddisfazione da parte degli utenti rispetto alla qualità del servizio reso, ivi incluse le statistiche di utilizzo. Si ritiene tali dati possano debbano essere pubblicati nella sotto-sezione di secondo livello “Servizi erogati / Servizi in rete”.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7.2. Art. 33- Dati sui tempi di pagamento dell’amministrazione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L’art. 29 del d.lgs. 97/2013, nell’integrare il disposto dell’art. 33, ha previsto che nel calcolo dell’indicatore annuale e trimestrale dei tempi medi di pagamento, le amministrazioni devono considerare, oltre gli acquisti di beni, servizi e forniture, anche i pagamenti relativi alle prestazioni professionali, non indicati nella precedente formulazione. Viene in tal modo chiarito che la misurazione dei tempi riguarda ogni tipo di contratto stipulato dall’amministrazione/ente, ivi compresi quelli aventi a oggetto prestazioni professionali, affidati nel rispetto della disciplina vigente in materia. Il legislatore continua a prestare particolare attenzione al grave fenomeno dei ritardati pagamenti delle pubbliche amministrazioni, interpretando la trasparenza come strumento utile alla emersione e alla riduzione di tale criticità. Ai fini dell’attuazione di detto obbligo si richiamano gli artt. 9 e 10 del </w:t>
      </w:r>
      <w:proofErr w:type="spellStart"/>
      <w:r w:rsidRPr="004F1C34">
        <w:rPr>
          <w:rFonts w:ascii="Kristen ITC" w:hAnsi="Kristen ITC"/>
          <w:sz w:val="24"/>
          <w:szCs w:val="24"/>
        </w:rPr>
        <w:t>d.p.c.m</w:t>
      </w:r>
      <w:proofErr w:type="spellEnd"/>
      <w:r w:rsidRPr="004F1C34">
        <w:rPr>
          <w:rFonts w:ascii="Kristen ITC" w:hAnsi="Kristen ITC"/>
          <w:sz w:val="24"/>
          <w:szCs w:val="24"/>
        </w:rPr>
        <w:t xml:space="preserve">. 22 settembre 2014 «Definizione degli schemi e delle modalità per la pubblicazione su internet dei dati relativi alle entrate e alla spesa dei bilanci preventivi e consuntivi e dell'indicatore annuale di tempestività' dei pagamenti delle pubbliche amministrazioni» e, per i Ministeri, la circolare n. 3 MEF - RGS - </w:t>
      </w:r>
      <w:proofErr w:type="spellStart"/>
      <w:r w:rsidRPr="004F1C34">
        <w:rPr>
          <w:rFonts w:ascii="Kristen ITC" w:hAnsi="Kristen ITC"/>
          <w:sz w:val="24"/>
          <w:szCs w:val="24"/>
        </w:rPr>
        <w:t>Prot</w:t>
      </w:r>
      <w:proofErr w:type="spellEnd"/>
      <w:r w:rsidRPr="004F1C34">
        <w:rPr>
          <w:rFonts w:ascii="Kristen ITC" w:hAnsi="Kristen ITC"/>
          <w:sz w:val="24"/>
          <w:szCs w:val="24"/>
        </w:rPr>
        <w:t xml:space="preserve">. 2565 del </w:t>
      </w:r>
      <w:r w:rsidRPr="004F1C34">
        <w:rPr>
          <w:rFonts w:ascii="Kristen ITC" w:hAnsi="Kristen ITC"/>
          <w:sz w:val="24"/>
          <w:szCs w:val="24"/>
        </w:rPr>
        <w:lastRenderedPageBreak/>
        <w:t xml:space="preserve">14/01/2015.  Ulteriore novità riguarda la previsione della pubblicazione, con cadenza annuale, dell’ammontare complessivo dei debiti e del numero delle imprese creditrici. Le amministrazioni, pertanto, rendono disponibile nella sotto-sezione di secondo livello “Indicatore di tempestività dei pagamenti/ammontare complessivo dei debiti” della sezione “Amministrazione trasparente”, possibilmente non oltre il 31 gennaio dell'anno successivo a quello di riferimento, l’ammontare complessivo del debito maturato dall’amministrazione e il numero delle imprese creditrici, fra le quali, secondo un’interpretazione coerente delle disposizioni dell’art. 33, sono da intendersi ricompresi tutti i soggetti che vantano crediti nei confronti delle p.a./enti, ivi inclusi singoli professionisti.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7.3. Art. 35- Procedimenti amministrativi e controlli sulle dichiarazioni sostitutive e l’acquisizione d’ufficio dei dati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In merito agli obblighi di pubblicazione relativi ai procedimenti amministrativi, ai controlli sulle dichiarazioni sostitutive e all'acquisizione d'ufficio dei dati, previsti dall’art. 35 del </w:t>
      </w:r>
      <w:proofErr w:type="spellStart"/>
      <w:r w:rsidRPr="004F1C34">
        <w:rPr>
          <w:rFonts w:ascii="Kristen ITC" w:hAnsi="Kristen ITC"/>
          <w:sz w:val="24"/>
          <w:szCs w:val="24"/>
        </w:rPr>
        <w:t>d.lgs</w:t>
      </w:r>
      <w:proofErr w:type="spellEnd"/>
      <w:r w:rsidRPr="004F1C34">
        <w:rPr>
          <w:rFonts w:ascii="Kristen ITC" w:hAnsi="Kristen ITC"/>
          <w:sz w:val="24"/>
          <w:szCs w:val="24"/>
        </w:rPr>
        <w:t xml:space="preserve"> 33/2013, sono intervenute alcune modifiche sempre nell’ottica della semplificazione.  In particolare: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Autorità Nazionale Anticorruzione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23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a) è stato eliminato l’obbligo di pubblicare il nome del responsabile del procedimento, sostituito con la pubblicazione dell’ufficio responsabile (co.1, </w:t>
      </w:r>
      <w:proofErr w:type="spellStart"/>
      <w:r w:rsidRPr="004F1C34">
        <w:rPr>
          <w:rFonts w:ascii="Kristen ITC" w:hAnsi="Kristen ITC"/>
          <w:sz w:val="24"/>
          <w:szCs w:val="24"/>
        </w:rPr>
        <w:t>lett</w:t>
      </w:r>
      <w:proofErr w:type="spellEnd"/>
      <w:r w:rsidRPr="004F1C34">
        <w:rPr>
          <w:rFonts w:ascii="Kristen ITC" w:hAnsi="Kristen ITC"/>
          <w:sz w:val="24"/>
          <w:szCs w:val="24"/>
        </w:rPr>
        <w:t xml:space="preserve">. c);  b) è stato abrogato l’obbligo di pubblicare i risultati dell’indagine di </w:t>
      </w:r>
      <w:proofErr w:type="spellStart"/>
      <w:r w:rsidRPr="004F1C34">
        <w:rPr>
          <w:rFonts w:ascii="Kristen ITC" w:hAnsi="Kristen ITC"/>
          <w:sz w:val="24"/>
          <w:szCs w:val="24"/>
        </w:rPr>
        <w:t>customer</w:t>
      </w:r>
      <w:proofErr w:type="spellEnd"/>
      <w:r w:rsidRPr="004F1C34">
        <w:rPr>
          <w:rFonts w:ascii="Kristen ITC" w:hAnsi="Kristen ITC"/>
          <w:sz w:val="24"/>
          <w:szCs w:val="24"/>
        </w:rPr>
        <w:t xml:space="preserve"> </w:t>
      </w:r>
      <w:proofErr w:type="spellStart"/>
      <w:r w:rsidRPr="004F1C34">
        <w:rPr>
          <w:rFonts w:ascii="Kristen ITC" w:hAnsi="Kristen ITC"/>
          <w:sz w:val="24"/>
          <w:szCs w:val="24"/>
        </w:rPr>
        <w:t>satisfaction</w:t>
      </w:r>
      <w:proofErr w:type="spellEnd"/>
      <w:r w:rsidRPr="004F1C34">
        <w:rPr>
          <w:rFonts w:ascii="Kristen ITC" w:hAnsi="Kristen ITC"/>
          <w:sz w:val="24"/>
          <w:szCs w:val="24"/>
        </w:rPr>
        <w:t xml:space="preserve"> effettuata per verificare il livello di qualità dei servizi erogati, previsto alla </w:t>
      </w:r>
      <w:proofErr w:type="spellStart"/>
      <w:r w:rsidRPr="004F1C34">
        <w:rPr>
          <w:rFonts w:ascii="Kristen ITC" w:hAnsi="Kristen ITC"/>
          <w:sz w:val="24"/>
          <w:szCs w:val="24"/>
        </w:rPr>
        <w:t>lett</w:t>
      </w:r>
      <w:proofErr w:type="spellEnd"/>
      <w:r w:rsidRPr="004F1C34">
        <w:rPr>
          <w:rFonts w:ascii="Kristen ITC" w:hAnsi="Kristen ITC"/>
          <w:sz w:val="24"/>
          <w:szCs w:val="24"/>
        </w:rPr>
        <w:t xml:space="preserve">. n), abrogata dall’art. 30 del d.lgs. 97/2016;  c) è stato soppresso l’obbligo di pubblicare le eventuali convenzioni che regolamentano le modalità di accesso ai dati secondo quanto previsto nel CO.A.D. e le ulteriori modalità per acquisire d’ufficio i dati per lo svolgimento dei controlli sulle autocertificazioni (co. 3, </w:t>
      </w:r>
      <w:proofErr w:type="spellStart"/>
      <w:r w:rsidRPr="004F1C34">
        <w:rPr>
          <w:rFonts w:ascii="Kristen ITC" w:hAnsi="Kristen ITC"/>
          <w:sz w:val="24"/>
          <w:szCs w:val="24"/>
        </w:rPr>
        <w:t>lett</w:t>
      </w:r>
      <w:proofErr w:type="spellEnd"/>
      <w:r w:rsidRPr="004F1C34">
        <w:rPr>
          <w:rFonts w:ascii="Kristen ITC" w:hAnsi="Kristen ITC"/>
          <w:sz w:val="24"/>
          <w:szCs w:val="24"/>
        </w:rPr>
        <w:t xml:space="preserve">. b) e c).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lastRenderedPageBreak/>
        <w:t xml:space="preserve">8. Obblighi di pubblicazione in settori speciali 8.1. Art. 37 - Contratti pubblici di lavori, servizi e forniture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L’art. 37 è stato riformulato. Permangono gli obblighi di pubblicazione contenuti nell’art. 1, co. 32, della l. 190/2012 ed è stata aggiunta la pubblicazione degli atti e delle informazioni oggetto di pubblicazione ai sensi dell’art. 29 del d.lgs. 50/2016.  Fermo restando quanto già previsto dall’Autorità con la delibera ANAC 39/2016 «Indicazioni alle amministrazioni pubbliche di cui all’art. 1 co. 2 del d.lgs. 165/2001 sull’assolvimento degli obblighi di pubblicazione e di trasmissione delle informazioni all’ANAC ai sensi dell’art.1 co. 32 della l. 190/2012 come aggiornato dall’art. 8 co. 2 della legge 69/2015» a proposito degli obblighi di pubblicazione dei dati ai sensi dell’art. 1, co. 32 della l. 190/2012, e tenuto conto della formulazione molto generale del rinvio agli atti di cui all’art. 29 del d.lgs. 50/2016, l’Autorità ritiene che le pubbliche amministrazioni e gli altri soggetti tenuti ai sensi dell’art. 2 bis del d.lgs. 33/2013, siano tenuti a pubblicare nella sezione “Amministrazione trasparente”- sottosezione “Bandi di gara e contratti” gli atti oggetto di pubblicazione obbligatoria ai sensi del d.lgs. 50/2016, come elencati nell’allegato 1, nonché gli elenchi dei verbali delle commissioni di gara, ferma restando la possibilità di esercizio del diritto di accesso civico generalizzato ai predetti verbali, ai sensi degli artt. 5, co. 2 e 5-bis del d.lgs. 33/2013. Gli atti in questione possono essere pubblicati nella predetta sotto-sezione, anche tramite link ad altre parti del sito, in attuazione dell’art. 9 del d.lgs. 33/2013.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8.2. Art. 38- Dati sui processi di pianificazione, realizzazione e valutazione delle opere pubbliche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L’art. 38 è stato riformulato dal d.lgs. 97/2016 al fine di semplificare gli obblighi di trasparenza stabiliti nel testo previgente concernenti l’attività di pianificazione, realizzazione e valutazione delle opere pubbliche.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Resta fermo al co. 1, per le amministrazioni centrali e le regioni, l’obbligo di pubblicare le informazioni relative ai nuclei di valutazione e verifica degli investimenti pubblici, che esse sono tenute a istituire al proprio interno, ai sensi dell’art. 1 della l. 144/1999. In particolare, le amministrazioni interessate sono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lastRenderedPageBreak/>
        <w:t xml:space="preserve"> Autorità Nazionale Anticorruzione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24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proofErr w:type="gramStart"/>
      <w:r w:rsidRPr="004F1C34">
        <w:rPr>
          <w:rFonts w:ascii="Kristen ITC" w:hAnsi="Kristen ITC"/>
          <w:sz w:val="24"/>
          <w:szCs w:val="24"/>
        </w:rPr>
        <w:t>tenute</w:t>
      </w:r>
      <w:proofErr w:type="gramEnd"/>
      <w:r w:rsidRPr="004F1C34">
        <w:rPr>
          <w:rFonts w:ascii="Kristen ITC" w:hAnsi="Kristen ITC"/>
          <w:sz w:val="24"/>
          <w:szCs w:val="24"/>
        </w:rPr>
        <w:t xml:space="preserve"> a pubblicare: a) le informazioni relative alle funzioni ed ai compiti attribuiti ai nuclei di valutazione; b) le procedure e i criteri di valutazione dei componenti e i loro nominativi.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Risultano invece soppressi, anche in coerenza con l’introduzione dell’accesso civico generalizzato e la prossima apertura delle banche dati, gli obblighi di pubblicazione dei documenti recanti le linee guida per la valutazione degli investimenti, le relazioni annuali sullo stato di attuazione della pianificazione, ogni altro documento predisposto nell’ambito della valutazione, ivi inclusi i pareri dei valutatori che si discostino dalle scelte delle amministrazioni e gli esiti delle valutazioni ex post che si discostino dalle valutazione ex ante.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L’obbligo di pubblicare i documenti di programmazione delle opere pubbliche è contenuto al co. 2, anch’esso riformulato dal d.lgs. 97/2016. Tale obbligo attinente agli atti di programmazione delle opere pubbliche ribadisce quanto già previsto per il programma triennale dei lavori pubblici e gli aggiornamenti annuali sia all’art. 21 del d.lgs. 50/2016 sia nella disciplina generale della trasparenza per i contratti pubblici, contenuta nell’art. 29 del codice (cui peraltro fa espresso rinvio l’art. 37 del d.lgs. 33/2013), ove si afferma nuovamente che «tutti gli atti delle amministrazioni aggiudicatrici e degli enti aggiudicatori relativi alla programmazione di lavori, opere, servizi e forniture…devono essere pubblicati e aggiornati sul profilo del committente…».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Ne consegue che, ai fini dell’assolvimento dell’obbligo di cui al co. 2 dell’art. 38, è necessario che le stazioni appaltanti procedano ad inserire, nella sezione “Amministrazione trasparente” sotto-sezione “Opere pubbliche” del proprio sito istituzionale il collegamento ipertestuale alla sotto-sezione “Bandi di gara e contratti”, ove risultano pubblicati i dati in questione.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Si fa presente, inoltre, che per quanto riguarda le modalità da seguire per la pubblicazione sul sito informatico dell’Osservatorio del programma biennale degli acquisti di beni e servizi e del programma triennale dei lavori pubblici, da effettuarsi </w:t>
      </w:r>
      <w:r w:rsidRPr="004F1C34">
        <w:rPr>
          <w:rFonts w:ascii="Kristen ITC" w:hAnsi="Kristen ITC"/>
          <w:sz w:val="24"/>
          <w:szCs w:val="24"/>
        </w:rPr>
        <w:lastRenderedPageBreak/>
        <w:t xml:space="preserve">ai sensi del citato art. 21, co. 7, del d.lgs. 50/2016, l’Autorità con comunicato del Presidente del 26 ottobre 2016 ha precisato che «nelle more dell’adeguamento definitivo dei sistemi informatici dell’Autorità al fine di renderli idonei al ricevimento delle suddette comunicazioni le amministrazioni aggiudicatrici devono adempiere agli obblighi previsti dall’art. 21, comma 7, del Codice mediante la pubblicazione dei programmi sul proprio profilo di committente e sul sito del Ministero delle Infrastrutture e dei Trasporti».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Con riferimento alla pubblicazione delle informazioni relative ai tempi, ai costi unitari e agli indicatori di realizzazione delle opere pubbliche completate, previsto nel testo previgente, l’obbligo è stato esteso anche alle opere pubbliche in corso. Appena disponibile, verrà reso noto anche lo schema tipo elaborato dal MEF d’intesa con l’ANAC previsto dalla norma.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Infine il co. 2 bis dell’art. 38 chiarisce che per i Ministeri gli atti di programmazione delle opere pubbliche sono contenuti nel documento pluriennale di pianificazione previsto dalla sopra menzionata disciplina in materia di valutazione degli investimenti relativi alle opere pubbliche, di cui al d.lgs. 29 dicembre 2011, n. 228, art. 2. L’obbligo di pubblicazione può, pertanto, considerarsi assolto anche attraverso un collegamento tramite link ad altra sotto-sezione del sito o alla banca dati.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Autorità Nazionale Anticorruzione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25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8.3. Art. 39- Attività di pianificazione e governo del territorio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Gli obblighi di trasparenza relativi agli atti di governo del territorio di cui all’art. 39, sono stati semplificati dal d.lgs. 97/2016, anche in considerazione dell’introduzione dell’accesso civico generalizzato. Rimangono oggetto di obbligo di pubblicazione i piani territoriali, i piani di coordinamento, i piani paesistici, gli strumenti urbanistici generali ed attuativi e le loro varianti. Non sono più oggetto di pubblicazione </w:t>
      </w:r>
      <w:r w:rsidRPr="004F1C34">
        <w:rPr>
          <w:rFonts w:ascii="Kristen ITC" w:hAnsi="Kristen ITC"/>
          <w:sz w:val="24"/>
          <w:szCs w:val="24"/>
        </w:rPr>
        <w:lastRenderedPageBreak/>
        <w:t xml:space="preserve">obbligatoria gli schemi di provvedimento, le delibere di adozione o approvazione e i relativi allegati tecnici.  L’Autorità ha già chiarito che tra gli atti di governo del territorio che le amministrazioni sono tenute a pubblicare ai sensi dell’art. 39 del d.lgs. n. 33/2013 rientrano anche il Documento programmatico preliminare contenente gli obiettivi e i criteri per la redazione del Piano urbanistico generale, nonché i Piani delle attività estrattive (altrimenti detti Piani cave e torbiere). Si sottolinea che la pubblicità dei suddetti atti è condizione per l’acquisizione di efficacia degli stessi, secondo quanto previsto dal co. 3 del medesimo art. 39.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8.4. Art. 41- Trasparenza del SSN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Il d.lgs. 97/2016 ha modificato l’art. 41 del d.lgs. 33/2013 con il quale si sottopongono all’obbligo di pubblicità e trasparenza tutte le amministrazioni e gli enti del servizio sanitario nazionale, regionale, delle aziende sanitarie territoriali ed ospedaliere nonché di tutti gli enti, agenzie ed organismi pubblici che svolgono attività di programmazione e fornitura dei servizi sanitari.  All’art. 41 è stato aggiunto il co. 1-bis che dispone la pubblicazione dei dati relativi alle spese e ai pagamenti effettuati, distinti per tipologia di lavoro, bene o servizio. Alla luce della nuova disposizione tutti i soggetti sopra indicati attivano nella propria sezione “Amministrazione Trasparente”, anche in coerenza con quanto previsto dalle specifiche disposizioni di settore, una sotto-sezione relativa alle spese sostenute contenente i dati di cui al co.1-bis organizzati secondo le prescrizioni ivi contenute.  In aggiunta a quanto già previsto nel co. 6, viene richiesta anche la pubblicazione dei criteri di formazione delle liste di attesa.  Gli enti operanti nel servizio sanitario nazionale sono tenuti, altresì, al rispetto degli obblighi di pubblicazione previsti dalla vigente normativa, avendo riguardo anche alle disposizioni contenute in atti vincolanti o accordi, quale, ad esempio, l’Accordo Collettivo Nazionale del 17 dicembre 2015, recante la disciplina dei rapporti con gli specialisti ambulatoriali interni, veterinari ed altre professionalità sanitarie. Con riferimento agli Enti del SSN e all’obbligo di cui al co. 2 dell’art. 4-bis, si rinvia a quanto precisato nel § 6.1. Per quanto riguarda gli obblighi di pubblicazione da applicarsi ai dirigenti sanitari si rinvia alle apposite Linee guida sull’art. 14 in corso di adozione.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lastRenderedPageBreak/>
        <w:t xml:space="preserve"> Autorità Nazionale Anticorruzione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26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Parte terza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9. Accesso civico per mancata pubblicazione di </w:t>
      </w:r>
      <w:proofErr w:type="gramStart"/>
      <w:r w:rsidRPr="004F1C34">
        <w:rPr>
          <w:rFonts w:ascii="Kristen ITC" w:hAnsi="Kristen ITC"/>
          <w:sz w:val="24"/>
          <w:szCs w:val="24"/>
        </w:rPr>
        <w:t>dati  L’art.</w:t>
      </w:r>
      <w:proofErr w:type="gramEnd"/>
      <w:r w:rsidRPr="004F1C34">
        <w:rPr>
          <w:rFonts w:ascii="Kristen ITC" w:hAnsi="Kristen ITC"/>
          <w:sz w:val="24"/>
          <w:szCs w:val="24"/>
        </w:rPr>
        <w:t xml:space="preserve"> 5 del d.lgs. 33/2013, modificato dall’art. 6 del d.lgs. 97/2016, riconosce a chiunque: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a) il diritto di richiedere alle Amministrazioni documenti, informazioni o dati per i quali è prevista la pubblicazione obbligatoria, nei casi in cui gli stessi non siano stati pubblicati nella sezione “Amministrazione trasparente” del sito web istituzionale (accesso civico “semplice”);  b) il diritto di accedere ai dati e ai documenti detenuti dalle pubbliche amministrazioni, ulteriori rispetto a quelli oggetto di pubblicazione ai sensi del d.lgs. 33/2013, nel rispetto dei limiti relativi alla tutela di interessi giuridicamente rilevanti secondo quanto previsto dall'articolo 5-bis (accesso civico “generalizzato”). Per quest’ultimo tipo di accesso si rinvia alle apposite Linee guida in cui sono date indicazioni anche in ordine alla auspicata pubblicazione del c.d. registro degli accessi (Delibera ANAC n. 1309/2016, § 9).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Per quanto riguarda gli obblighi di pubblicazione normativamente previsti, il legislatore ha confermato l’istituto dell’accesso civico volto ad ottenere la corretta pubblicazione dei dati rilevanti ex </w:t>
      </w:r>
      <w:proofErr w:type="spellStart"/>
      <w:r w:rsidRPr="004F1C34">
        <w:rPr>
          <w:rFonts w:ascii="Kristen ITC" w:hAnsi="Kristen ITC"/>
          <w:sz w:val="24"/>
          <w:szCs w:val="24"/>
        </w:rPr>
        <w:t>lege</w:t>
      </w:r>
      <w:proofErr w:type="spellEnd"/>
      <w:r w:rsidRPr="004F1C34">
        <w:rPr>
          <w:rFonts w:ascii="Kristen ITC" w:hAnsi="Kristen ITC"/>
          <w:sz w:val="24"/>
          <w:szCs w:val="24"/>
        </w:rPr>
        <w:t xml:space="preserve">, da pubblicare all’interno della sezione “Amministrazione trasparente”.  L’istanza va presentata al Responsabile per la prevenzione della corruzione e la trasparenza (RPCT), il quale è tenuto a concludere il procedimento di accesso civico con provvedimento espresso e motivato nel termine di trenta giorni. Sussistendone i presupposti, il RPCT avrà cura di pubblicare sul sito i dati, le informazioni o i documenti richiesti e a comunicare al richiedente l'avvenuta pubblicazione dello stesso, indicandogli il relativo collegamento ipertestuale. Nonostante la norma non menzioni più il possibile ricorso al titolare del potere sostitutivo, da una lettura sistematica delle </w:t>
      </w:r>
      <w:r w:rsidRPr="004F1C34">
        <w:rPr>
          <w:rFonts w:ascii="Kristen ITC" w:hAnsi="Kristen ITC"/>
          <w:sz w:val="24"/>
          <w:szCs w:val="24"/>
        </w:rPr>
        <w:lastRenderedPageBreak/>
        <w:t xml:space="preserve">norme, l’Autorità ritiene possa applicarsi l’istituto generale previsto dall’art. 2, co. 9-bis, della l. 241/90. Pertanto, in caso di ritardo o mancata risposta o diniego da parte del RPCT il richiedente può ricorrere al titolare del potere sostitutivo che conclude il procedimento di accesso civico come sopra specificato, entro i termini di cui all’art. 2, co. 9-ter della l. 241/1990.  A fronte dell’inerzia da parte del RPCT o del titolare del potere sostitutivo, il richiedente, ai fini della tutela del proprio diritto, può proporre ricorso al Tribunale amministrativo regionale ai sensi dell’art. 116 del decreto legislativo 2 luglio 2010, n. 104. Le amministrazioni sono tenute a pubblicare, nella sezione “Amministrazione trasparente”, sottosezione “Altri </w:t>
      </w:r>
      <w:proofErr w:type="gramStart"/>
      <w:r w:rsidRPr="004F1C34">
        <w:rPr>
          <w:rFonts w:ascii="Kristen ITC" w:hAnsi="Kristen ITC"/>
          <w:sz w:val="24"/>
          <w:szCs w:val="24"/>
        </w:rPr>
        <w:t>contenuti”/</w:t>
      </w:r>
      <w:proofErr w:type="gramEnd"/>
      <w:r w:rsidRPr="004F1C34">
        <w:rPr>
          <w:rFonts w:ascii="Kristen ITC" w:hAnsi="Kristen ITC"/>
          <w:sz w:val="24"/>
          <w:szCs w:val="24"/>
        </w:rPr>
        <w:t xml:space="preserve">“Accesso civico” gli indirizzi di posta elettronica cui inoltrare le richieste di accesso civico e di attivazione del potere sostitutivo.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Autorità Nazionale Anticorruzione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27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10. Decorrenza della nuova </w:t>
      </w:r>
      <w:proofErr w:type="gramStart"/>
      <w:r w:rsidRPr="004F1C34">
        <w:rPr>
          <w:rFonts w:ascii="Kristen ITC" w:hAnsi="Kristen ITC"/>
          <w:sz w:val="24"/>
          <w:szCs w:val="24"/>
        </w:rPr>
        <w:t>disciplina  Le</w:t>
      </w:r>
      <w:proofErr w:type="gramEnd"/>
      <w:r w:rsidRPr="004F1C34">
        <w:rPr>
          <w:rFonts w:ascii="Kristen ITC" w:hAnsi="Kristen ITC"/>
          <w:sz w:val="24"/>
          <w:szCs w:val="24"/>
        </w:rPr>
        <w:t xml:space="preserve"> disposizioni transitorie dettate al co. 1 dell’art. 42 del d.lgs. 97/2016 prevedono che tutti i soggetti a cui si applica il d.lgs. 33/2013 si adeguino alle modifiche introdotte dal d.lgs. 97/2016, entro sei mesi dalla data di entrata in vigore del medesimo decreto correttivo - 23 dicembre 2016- con riferimento sia agli obblighi di trasparenza sia all’accesso civico generalizzato. Con riguardo agli obblighi introdotti o modificati dal d.lgs. 97/2016, ad eccezione di quelli previsti dall’art. 14 (oggetto di specifiche Linee guida), i dati e le informazioni da pubblicare si riferiscono al periodo successivo al 23 giugno 2016, data di entrata in vigore del d.lgs. 97/2016. Al fine di consentire alle amministrazioni i necessari adeguamenti tecnici, l’attività di vigilanza dell’Autorità sui nuovi obblighi e su quelli oggetto di modifica sarà svolta dal 31 gennaio 2017 in coincidenza con l’adozione dei PTPCT.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Allegato 1- SEZIONE “AMMINISTRAZIONE TRASPARENTE” - ELENCO DEGLI OBBLIGHI DI PUBBLICAZIONE. </w:t>
      </w:r>
    </w:p>
    <w:p w:rsidR="004F1C34" w:rsidRP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 </w:t>
      </w:r>
    </w:p>
    <w:p w:rsidR="004F1C34" w:rsidRDefault="004F1C34" w:rsidP="004F1C34">
      <w:pPr>
        <w:widowControl w:val="0"/>
        <w:autoSpaceDE w:val="0"/>
        <w:autoSpaceDN w:val="0"/>
        <w:adjustRightInd w:val="0"/>
        <w:spacing w:after="240"/>
        <w:jc w:val="both"/>
        <w:rPr>
          <w:rFonts w:ascii="Kristen ITC" w:hAnsi="Kristen ITC"/>
          <w:sz w:val="24"/>
          <w:szCs w:val="24"/>
        </w:rPr>
      </w:pPr>
      <w:r w:rsidRPr="004F1C34">
        <w:rPr>
          <w:rFonts w:ascii="Kristen ITC" w:hAnsi="Kristen ITC"/>
          <w:sz w:val="24"/>
          <w:szCs w:val="24"/>
        </w:rPr>
        <w:t xml:space="preserve">L’allegato alle presenti Linee guida sostituisce la mappa ricognitiva degli obblighi di </w:t>
      </w:r>
      <w:r w:rsidRPr="004F1C34">
        <w:rPr>
          <w:rFonts w:ascii="Kristen ITC" w:hAnsi="Kristen ITC"/>
          <w:sz w:val="24"/>
          <w:szCs w:val="24"/>
        </w:rPr>
        <w:lastRenderedPageBreak/>
        <w:t xml:space="preserve">pubblicazione previsti per le pubbliche amministrazioni dal d.lgs. 33/2013, contenuta nell’allegato 1 della delibera n. 50/2013.  La tabella recepisce le modifiche introdotte dal d.lgs. 97/2016 relativamente ai dati da pubblicare e introduce le conseguenti modifiche alla struttura della sezione dei siti web denominata “Amministrazione trasparente”.  Alla luce delle modifiche intervenute nella sezione per l’abrogazione di taluni obblighi, si ritiene che le amministrazioni debbano comunque garantire l’accessibilità dei dati che sono stati pubblicati ai sensi della normativa previgente. È auspicabile, ad esempio, che ciascuna amministrazione continui a mantenere pubblicati i dati non più oggetto di pubblicazione obbligatoria, ai sensi del d.lgs. 97/2016, fino alla scadenza naturale dell'obbligo nei termini indicati all'art. 8 del d.lgs. 33/2013. A tal fine, nell'allegato 1 sono evidenziate in grigio le sotto-sezioni di primo e secondo livello relative ai predetti dati.  </w:t>
      </w:r>
      <w:r>
        <w:rPr>
          <w:rFonts w:ascii="Kristen ITC" w:hAnsi="Kristen ITC"/>
          <w:sz w:val="24"/>
          <w:szCs w:val="24"/>
        </w:rPr>
        <w:t xml:space="preserve"> </w:t>
      </w:r>
    </w:p>
    <w:p w:rsidR="004F1C34" w:rsidRDefault="004F1C34" w:rsidP="00B934F9">
      <w:pPr>
        <w:widowControl w:val="0"/>
        <w:autoSpaceDE w:val="0"/>
        <w:autoSpaceDN w:val="0"/>
        <w:adjustRightInd w:val="0"/>
        <w:spacing w:after="240"/>
        <w:jc w:val="both"/>
        <w:rPr>
          <w:rFonts w:ascii="Kristen ITC" w:hAnsi="Kristen ITC"/>
          <w:sz w:val="24"/>
          <w:szCs w:val="24"/>
        </w:rPr>
      </w:pPr>
    </w:p>
    <w:p w:rsidR="00D60F7A" w:rsidRDefault="00D60F7A" w:rsidP="00B934F9">
      <w:pPr>
        <w:widowControl w:val="0"/>
        <w:autoSpaceDE w:val="0"/>
        <w:autoSpaceDN w:val="0"/>
        <w:adjustRightInd w:val="0"/>
        <w:spacing w:after="240"/>
        <w:jc w:val="both"/>
        <w:rPr>
          <w:rFonts w:ascii="Kristen ITC" w:hAnsi="Kristen ITC"/>
          <w:b/>
          <w:sz w:val="24"/>
          <w:szCs w:val="24"/>
        </w:rPr>
      </w:pPr>
      <w:r w:rsidRPr="004F1C34">
        <w:rPr>
          <w:rFonts w:ascii="Kristen ITC" w:hAnsi="Kristen ITC"/>
          <w:b/>
          <w:sz w:val="24"/>
          <w:szCs w:val="24"/>
          <w:u w:val="single"/>
        </w:rPr>
        <w:t>L’ACCESSO CIVICO</w:t>
      </w:r>
      <w:r>
        <w:rPr>
          <w:rFonts w:ascii="Kristen ITC" w:hAnsi="Kristen ITC"/>
          <w:b/>
          <w:sz w:val="24"/>
          <w:szCs w:val="24"/>
        </w:rPr>
        <w:t xml:space="preserve">: si riproduce la </w:t>
      </w:r>
      <w:proofErr w:type="gramStart"/>
      <w:r w:rsidRPr="00D11A23">
        <w:rPr>
          <w:rFonts w:ascii="Kristen ITC" w:hAnsi="Kristen ITC"/>
          <w:b/>
          <w:sz w:val="24"/>
          <w:szCs w:val="24"/>
        </w:rPr>
        <w:t xml:space="preserve">deliberazione </w:t>
      </w:r>
      <w:r w:rsidR="00D11A23">
        <w:rPr>
          <w:rFonts w:ascii="Kristen ITC" w:hAnsi="Kristen ITC"/>
          <w:b/>
          <w:sz w:val="24"/>
          <w:szCs w:val="24"/>
        </w:rPr>
        <w:t xml:space="preserve"> ANAC</w:t>
      </w:r>
      <w:proofErr w:type="gramEnd"/>
      <w:r w:rsidR="00D11A23">
        <w:rPr>
          <w:rFonts w:ascii="Kristen ITC" w:hAnsi="Kristen ITC"/>
          <w:b/>
          <w:sz w:val="24"/>
          <w:szCs w:val="24"/>
        </w:rPr>
        <w:t xml:space="preserve"> n. 1309/2016 </w:t>
      </w:r>
      <w:r>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L’Autorità Nazionale Anticorruzione, d’intesa con il Garante per la protezione dei dati personali,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Visto il decreto legislativo 25 maggio 2016 n. 97 recante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Visto l’articolo 5 co. 2 del decreto legislativo 14 marzo 2013 n. 33, come modificato dal d.lgs. 97/2016 che ha introdotto, accanto all’accesso civico già disciplinato dal d.lgs. 33/2013, il diritto di chiunque di  accedere a dati e ai documenti detenuti dalle pubbliche amministrazioni, ulteriori rispetto a quelli oggetto di pubblicazione ai sensi del decreto 33/2013, nel rispetto dei  limiti relativi alla tutela di interessi giuridicamente rilevanti secondo quanto previsto dall’art. 5 bis, allo scopo di favorire forme diffuse di controllo sul perseguimento delle funzioni istituzionali e sull’utilizzo delle risorse pubbliche e di promuovere la partecipazione al dibattito pubblico;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lastRenderedPageBreak/>
        <w:t xml:space="preserve">Visto l’art. 5 bis del d.lgs. 33/2013, come modificato dal d.lgs. 97/2016, relativo alle esclusioni e ai limiti all’accesso civico di cui all’art. 5 co. 2 del medesimo decreto e, in particolare, l’art. 5 bis, co. 6, secondo cui ai fini della definizione delle esclusioni e dei limiti l’Autorità nazionale anticorruzione, d’intesa con il Garante per la protezione dei dati personali e sentita la Conferenza Unificata di cui all’art. 8 del d.lgs. 281/1997, adotta linee guida recanti indicazioni operative;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Visto lo schema di “Linee guida recanti indicazioni operative ai fini della definizione delle esclusioni e dei limiti all’accesso civico di cui all’art. 5 co. 2 del d.lgs. 33/2013” approvato dall’Autorità nell’adunanza del 9 novembre 2016 e posto in consultazione pubblica sul sito dell’Autorità dall’11 novembre al 28 novembre 2016;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Valutate le osservazioni pervenute durante la consultazione pubblica e i contributi istruttori acquisiti nel corso di audizioni informali svolte in </w:t>
      </w:r>
      <w:proofErr w:type="gramStart"/>
      <w:r w:rsidRPr="00D60F7A">
        <w:rPr>
          <w:rFonts w:ascii="Kristen ITC" w:hAnsi="Kristen ITC"/>
          <w:b/>
          <w:sz w:val="24"/>
          <w:szCs w:val="24"/>
        </w:rPr>
        <w:t>data  24</w:t>
      </w:r>
      <w:proofErr w:type="gramEnd"/>
      <w:r w:rsidRPr="00D60F7A">
        <w:rPr>
          <w:rFonts w:ascii="Kristen ITC" w:hAnsi="Kristen ITC"/>
          <w:b/>
          <w:sz w:val="24"/>
          <w:szCs w:val="24"/>
        </w:rPr>
        <w:t xml:space="preserve"> novembre 2016 presso l’Autorità;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Acquisita in data 15 dicembre </w:t>
      </w:r>
      <w:proofErr w:type="gramStart"/>
      <w:r w:rsidRPr="00D60F7A">
        <w:rPr>
          <w:rFonts w:ascii="Kristen ITC" w:hAnsi="Kristen ITC"/>
          <w:b/>
          <w:sz w:val="24"/>
          <w:szCs w:val="24"/>
        </w:rPr>
        <w:t>2016  l’intesa</w:t>
      </w:r>
      <w:proofErr w:type="gramEnd"/>
      <w:r w:rsidRPr="00D60F7A">
        <w:rPr>
          <w:rFonts w:ascii="Kristen ITC" w:hAnsi="Kristen ITC"/>
          <w:b/>
          <w:sz w:val="24"/>
          <w:szCs w:val="24"/>
        </w:rPr>
        <w:t xml:space="preserve"> del Garante per la protezione dei dati personali;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Ritenuto opportuno, anche in relazione all’intesa acquisita e alle interlocuzioni istruttorie avute nel corso delle audizioni informali con le Regioni e gli enti territoriali, pervenire a successivi approfondimenti delle Linee guida anche in un apposito tavolo di confronto con le Regioni e gli enti territoriali;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roofErr w:type="gramStart"/>
      <w:r w:rsidRPr="00D60F7A">
        <w:rPr>
          <w:rFonts w:ascii="Kristen ITC" w:hAnsi="Kristen ITC"/>
          <w:b/>
          <w:sz w:val="24"/>
          <w:szCs w:val="24"/>
        </w:rPr>
        <w:t>Visto  il</w:t>
      </w:r>
      <w:proofErr w:type="gramEnd"/>
      <w:r w:rsidRPr="00D60F7A">
        <w:rPr>
          <w:rFonts w:ascii="Kristen ITC" w:hAnsi="Kristen ITC"/>
          <w:b/>
          <w:sz w:val="24"/>
          <w:szCs w:val="24"/>
        </w:rPr>
        <w:t xml:space="preserve"> parere alla Conferenza Unificata di cui all’art. di cui all’art. 8, comma 1, del decreto legislativo 28 agosto 1997, n. 281 ai sensi dell’art. art. 5 bis, co. 6 del d.lgs. 33/2013 in data 22 dicembre 2016;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Autorità Nazionale Anticorruzione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2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lastRenderedPageBreak/>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Adotta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LINEE GUIDA RECANTI INDICAZIONI OPERATIVE AI FINI DELLA DEFINIZIONE DELLE ESCLUSIONI E DEI LIMITI ALL'ACCESSO CIVICO DI CUI ALL’ART. 5 CO. 2 DEL D.LGS.  33/2013 Art. 5- bis, comma 6, del d.lgs. n. 33 del 14/03/2013 recante «Riordino della disciplina riguardante il diritto di accesso civico e gli obblighi di pubblicità, trasparenza e diffusione di informazioni da parte delle pubbliche amministrazioni».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Delibera n. 1309 del 28 dicembre 2016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Autorità Nazionale Anticorruzione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r w:rsidR="002D6B78" w:rsidRPr="002D6B78">
        <w:rPr>
          <w:rFonts w:ascii="Kristen ITC" w:hAnsi="Kristen ITC"/>
          <w:b/>
          <w:noProof/>
          <w:sz w:val="24"/>
          <w:szCs w:val="24"/>
          <w:lang w:eastAsia="it-IT"/>
        </w:rPr>
        <w:lastRenderedPageBreak/>
        <w:drawing>
          <wp:inline distT="0" distB="0" distL="0" distR="0">
            <wp:extent cx="6480955" cy="7543800"/>
            <wp:effectExtent l="57150" t="0" r="53340" b="11430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2807" cy="7545956"/>
                    </a:xfrm>
                    <a:prstGeom prst="rect">
                      <a:avLst/>
                    </a:prstGeom>
                    <a:noFill/>
                    <a:ln>
                      <a:noFill/>
                    </a:ln>
                    <a:effectLst>
                      <a:outerShdw blurRad="50800" dist="50800" dir="5400000" algn="ctr" rotWithShape="0">
                        <a:schemeClr val="bg1"/>
                      </a:outerShdw>
                      <a:reflection endPos="0" dir="5400000" sy="-100000" algn="bl" rotWithShape="0"/>
                    </a:effectLst>
                  </pic:spPr>
                </pic:pic>
              </a:graphicData>
            </a:graphic>
          </wp:inline>
        </w:drawing>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r w:rsidR="002D6B78" w:rsidRPr="002D6B78">
        <w:rPr>
          <w:rFonts w:ascii="Kristen ITC" w:hAnsi="Kristen ITC"/>
          <w:b/>
          <w:noProof/>
          <w:sz w:val="24"/>
          <w:szCs w:val="24"/>
          <w:lang w:eastAsia="it-IT"/>
        </w:rPr>
        <w:lastRenderedPageBreak/>
        <w:drawing>
          <wp:inline distT="0" distB="0" distL="0" distR="0">
            <wp:extent cx="6533670" cy="1943100"/>
            <wp:effectExtent l="0" t="0" r="63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0550" cy="1945146"/>
                    </a:xfrm>
                    <a:prstGeom prst="rect">
                      <a:avLst/>
                    </a:prstGeom>
                    <a:noFill/>
                    <a:ln>
                      <a:noFill/>
                    </a:ln>
                  </pic:spPr>
                </pic:pic>
              </a:graphicData>
            </a:graphic>
          </wp:inline>
        </w:drawing>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Autorità Nazionale Anticorruzione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5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1. Definizioni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Di seguito si riportano alcune definizioni utili ai fini delle presenti Linee Guida.  Il d.lgs. 33/2013, come modificato dal d.lgs. 97/2016, è di seguito definito “decreto trasparenza”.  Per “accesso documentale” si intende l'accesso disciplinato dal capo V della legge 241/1990. Per “accesso civico” si intende l'accesso di cui all'art. 5, comma 1, del decreto trasparenza, ai documenti oggetto degli obblighi di pubblicazione. Per “accesso generalizzato” si intende l'accesso di cui all'art. 5, comma 2, del decreto trasparenza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2. L’accesso civico generalizzato: caratteristiche e funzioni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lastRenderedPageBreak/>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2.1. Introduzione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Le presenti linee guida hanno a oggetto la “definizione delle esclusioni e dei limiti” all’accesso civico a dati non oggetto di pubblicazione obbligatoria disciplinato dagli artt. 5 e 5 bis del decreto trasparenza.   Tale nuova tipologia di accesso (d’ora in avanti “accesso generalizzato”), delineata nel novellato art. 5, comma 2 del decreto trasparenza, ai sensi del quale “chiunque ha diritto di accedere ai dati e ai documenti detenuti dalle pubbliche amministrazioni, ulteriori rispetto a quelli oggetto di pubblicazione ai sensi del presente decreto, nel rispetto dei limiti relativi alla tutela di interessi pubblici e privati giuridicamente rilevanti, secondo quanto previsto dall’art. 5-bis”, si traduce, in estrema sintesi, in un diritto di accesso non condizionato dalla titolarità di situazioni giuridicamente rilevanti ed avente ad oggetto tutti i dati e i documenti e informazioni detenuti dalle pubbliche amministrazioni, ulteriori rispetto a quelli per i quali è stabilito un obbligo di pubblicazione. La ratio della riforma risiede nella dichiarata finalità di favorire forme diffuse di controllo sul perseguimento delle funzioni istituzionali e sull’utilizzo delle risorse pubbliche e di promuovere la partecipazione al dibattito pubblico (art. 5, comma 2 del decreto trasparenza). Ciò in attuazione del principio di trasparenza che il novellato articolo 1, comma 1, del decreto trasparenza ridefinisce come accessibilità totale dei dati e dei documenti detenuti dalle pubbliche amministrazioni non più solo finalizzata a “favorire forme diffuse di controllo sul perseguimento delle funzioni istituzionali e sull’utilizzo delle risorse pubbliche”, ma soprattutto, e con una modifica assai significativa, come strumento di  tutela dei diritti dei cittadini e di promozione della partecipazione degli interessati all’attività amministrativa. L’intento del legislatore è ancor più valorizzato in considerazione di quanto già previsto nel co. 2 dell’art. 1 del decreto </w:t>
      </w:r>
      <w:proofErr w:type="gramStart"/>
      <w:r w:rsidRPr="00D60F7A">
        <w:rPr>
          <w:rFonts w:ascii="Kristen ITC" w:hAnsi="Kristen ITC"/>
          <w:b/>
          <w:sz w:val="24"/>
          <w:szCs w:val="24"/>
        </w:rPr>
        <w:t>trasparenza  secondo</w:t>
      </w:r>
      <w:proofErr w:type="gramEnd"/>
      <w:r w:rsidRPr="00D60F7A">
        <w:rPr>
          <w:rFonts w:ascii="Kristen ITC" w:hAnsi="Kristen ITC"/>
          <w:b/>
          <w:sz w:val="24"/>
          <w:szCs w:val="24"/>
        </w:rPr>
        <w:t xml:space="preserve"> cui la trasparenza è condizione di garanzia delle libertà individuali e collettive, nonché dei diritti civili, politici e sociali, e integra il diritto ad una buona amministrazione e concorre alla realizzazione di una amministrazione aperta, al servizio del cittadino. La trasparenza diviene, quindi, principio cardine e fondamentale dell’organizzazione delle pubbliche amministrazioni e dei loro rapporti con i cittadini. Anche nell’ordinamento dell’Unione Europea, soprattutto a seguito dell’entrata in vigore del Trattato di Lisbona (cfr. art. 15 TFUE e capo V della Carta dei diritti fondamentali) il diritto di accesso non è preordinato alla tutela di una propria posizione giuridica soggettiva, quindi non richiede la prova di un interesse specifico, ma risponde ad un principio generale di trasparenza </w:t>
      </w:r>
      <w:r w:rsidRPr="00D60F7A">
        <w:rPr>
          <w:rFonts w:ascii="Kristen ITC" w:hAnsi="Kristen ITC"/>
          <w:b/>
          <w:sz w:val="24"/>
          <w:szCs w:val="24"/>
        </w:rPr>
        <w:lastRenderedPageBreak/>
        <w:t xml:space="preserve">dell’azione dell’Unione ed è uno strumento di controllo democratico sull'operato dell'amministrazione europea, volto a promuovere il buon governo e garantire la partecipazione della società civile. Dal canto suo, la Corte europea dei diritti dell’uomo ha qualificato il diritto di accesso alle informazione quale specifica manifestazione della libertà di informazione, ed in quanto tale protetto dall’art. 10(1) della Convenzione europea per la salvaguardia dei diritti dell’uomo e delle libertà fondamentali. Come previsto nella legge 190/2012, il principio della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Autorità Nazionale Anticorruzione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6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roofErr w:type="gramStart"/>
      <w:r w:rsidRPr="00D60F7A">
        <w:rPr>
          <w:rFonts w:ascii="Kristen ITC" w:hAnsi="Kristen ITC"/>
          <w:b/>
          <w:sz w:val="24"/>
          <w:szCs w:val="24"/>
        </w:rPr>
        <w:t>trasparenza</w:t>
      </w:r>
      <w:proofErr w:type="gramEnd"/>
      <w:r w:rsidRPr="00D60F7A">
        <w:rPr>
          <w:rFonts w:ascii="Kristen ITC" w:hAnsi="Kristen ITC"/>
          <w:b/>
          <w:sz w:val="24"/>
          <w:szCs w:val="24"/>
        </w:rPr>
        <w:t xml:space="preserve"> costituisce, inoltre, misura fondamentale per le azioni di prevenzione e contrasto anticipato della corruzione.  A questa impostazione consegue, nel novellato decreto 33/2013, il rovesciamento della precedente prospettiva che comportava l’attivazione del diritto di accesso civico solo strumentalmente all’adempimento degli obblighi di pubblicazione; ora è proprio la libertà di accedere ai dati e ai documenti, cui corrisponde una diversa versione dell’accesso civico, a divenire centrale nel nuovo sistema, in analogia agli ordinamenti aventi il </w:t>
      </w:r>
      <w:proofErr w:type="spellStart"/>
      <w:r w:rsidRPr="00D60F7A">
        <w:rPr>
          <w:rFonts w:ascii="Kristen ITC" w:hAnsi="Kristen ITC"/>
          <w:b/>
          <w:sz w:val="24"/>
          <w:szCs w:val="24"/>
        </w:rPr>
        <w:t>Freedom</w:t>
      </w:r>
      <w:proofErr w:type="spellEnd"/>
      <w:r w:rsidRPr="00D60F7A">
        <w:rPr>
          <w:rFonts w:ascii="Kristen ITC" w:hAnsi="Kristen ITC"/>
          <w:b/>
          <w:sz w:val="24"/>
          <w:szCs w:val="24"/>
        </w:rPr>
        <w:t xml:space="preserve"> of Information </w:t>
      </w:r>
      <w:proofErr w:type="spellStart"/>
      <w:r w:rsidRPr="00D60F7A">
        <w:rPr>
          <w:rFonts w:ascii="Kristen ITC" w:hAnsi="Kristen ITC"/>
          <w:b/>
          <w:sz w:val="24"/>
          <w:szCs w:val="24"/>
        </w:rPr>
        <w:t>Act</w:t>
      </w:r>
      <w:proofErr w:type="spellEnd"/>
      <w:r w:rsidRPr="00D60F7A">
        <w:rPr>
          <w:rFonts w:ascii="Kristen ITC" w:hAnsi="Kristen ITC"/>
          <w:b/>
          <w:sz w:val="24"/>
          <w:szCs w:val="24"/>
        </w:rPr>
        <w:t xml:space="preserve"> (FOIA), ove il diritto all’informazione è generalizzato e la regola generale è la trasparenza mentre la riservatezza e il segreto eccezioni. In coerenza con il quadro normativo, il diritto di accesso civico generalizzato si configura - come il diritto di accesso civico disciplinato dall’art. 5, comma 1 - come diritto a titolarità diffusa, potendo essere attivato “da chiunque” e non essendo sottoposto ad alcuna limitazione quanto alla legittimazione soggettiva del richiedente (comma 3). A ciò si aggiunge un ulteriore elemento, ossia che l’istanza “non richiede motivazione”. In altri termini, tale nuova tipologia di accesso civico risponde all’interesse dell’ordinamento di assicurare ai cittadini (a “chiunque”), indipendentemente dalla titolarità di situazioni giuridiche soggettive, un accesso a dati, documenti e informazioni detenute da pubbliche amministrazioni e dai soggetti indicati nell’art. art. 2-bis del d.lgs. 33/2013 come modificato dal d.lgs. 97/2016. Per quanto sopra evidenziato, si ritiene che i principi delineati debbano </w:t>
      </w:r>
      <w:r w:rsidRPr="00D60F7A">
        <w:rPr>
          <w:rFonts w:ascii="Kristen ITC" w:hAnsi="Kristen ITC"/>
          <w:b/>
          <w:sz w:val="24"/>
          <w:szCs w:val="24"/>
        </w:rPr>
        <w:lastRenderedPageBreak/>
        <w:t xml:space="preserve">fungere da canone interpretativo in sede di applicazione della disciplina dell’accesso generalizzato da parte delle amministrazioni e degli altri soggetti obbligati, avendo il legislatore posto la trasparenza e l’accessibilità come la regola rispetto alla quale i limiti e le esclusioni previste dall’art. 5 bis del d.lgs. 33/2013, rappresentano eccezioni e come tali da interpretarsi restrittivamente. Sul punto si daranno indicazioni nei successivi paragrafi.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2.2. Distinzione fra accesso generalizzato e accesso civico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L’accesso generalizzato non sostituisce l’accesso civico “semplice” (d’ora in poi “accesso civico”) previsto dall’art. 5, comma 1 del decreto trasparenza, e disciplinato nel citato decreto già prima delle modifiche ad opera del d.lgs. 97/2016. L’accesso civico rimane circoscritto ai soli atti, documenti e informazioni oggetto di obblighi di pubblicazione e costituisce un rimedio alla mancata osservanza degli obblighi di pubblicazione imposti dalla legge, sovrapponendo al dovere di pubblicazione, il diritto del privato di accedere ai documenti, dati e informazioni interessati dall’inadempienza. I due diritti di accesso, pur accomunati dal diffuso riconoscimento in capo a “chiunque”, indipendentemente dalla titolarità di una situazione giuridica soggettiva connessa, sono quindi destinati a muoversi su binari differenti, come si ricava anche dall’inciso inserito all’inizio del comma 5 dell’art. 5, “fatti salvi i casi di pubblicazione obbligatoria”, nel quale viene disposta l’attivazione del contraddittorio in presenza di controinteressati per l’accesso generalizzato.  L’accesso generalizzato si delinea come affatto autonomo ed indipendente da presupposti obblighi di pubblicazione e come espressione, invece, di una libertà che incontra, quali unici limiti, da una parte, il rispetto della tutela degli interessi pubblici e/o privati indicati all’art. 5 bis, commi 1 e 2, e dall’altra, il rispetto delle norme che prevedono specifiche esclusioni (art. 5 bis, comma 3).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2.3. Distinzione fra accesso generalizzato e accesso agli atti ex l. 241/1990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L’accesso generalizzato deve essere anche tenuto distinto dalla disciplina dell’accesso ai documenti amministrativi di cui agli articoli 22 e seguenti della legge 7 agosto 1990, n. 241 (d’ora in poi “accesso documentale”). La finalità dell’accesso documentale ex l. 241/90 è, in effetti, ben differente da quella sottesa all’accesso generalizzato ed è quella di porre i soggetti interessati in grado di esercitare al meglio le facoltà - partecipative e/o oppositive e difensive – che l'ordinamento </w:t>
      </w:r>
      <w:r w:rsidRPr="00D60F7A">
        <w:rPr>
          <w:rFonts w:ascii="Kristen ITC" w:hAnsi="Kristen ITC"/>
          <w:b/>
          <w:sz w:val="24"/>
          <w:szCs w:val="24"/>
        </w:rPr>
        <w:lastRenderedPageBreak/>
        <w:t xml:space="preserve">attribuisce loro a tutela delle posizioni giuridiche qualificate di cui sono titolari. Più precisamente, dal punto di vista soggettivo, ai fini dell’istanza di accesso ex </w:t>
      </w:r>
      <w:proofErr w:type="spellStart"/>
      <w:r w:rsidRPr="00D60F7A">
        <w:rPr>
          <w:rFonts w:ascii="Kristen ITC" w:hAnsi="Kristen ITC"/>
          <w:b/>
          <w:sz w:val="24"/>
          <w:szCs w:val="24"/>
        </w:rPr>
        <w:t>lege</w:t>
      </w:r>
      <w:proofErr w:type="spellEnd"/>
      <w:r w:rsidRPr="00D60F7A">
        <w:rPr>
          <w:rFonts w:ascii="Kristen ITC" w:hAnsi="Kristen ITC"/>
          <w:b/>
          <w:sz w:val="24"/>
          <w:szCs w:val="24"/>
        </w:rPr>
        <w:t xml:space="preserve"> 241 il richiedente deve dimostrare di essere titolare di un «interesse diretto, concreto e attuale, corrispondente ad una situazione giuridicamente tutelata e collegata al documento al quale è chiesto l'accesso». Mentre la legge 241/90 esclude, inoltre, perentoriamente l’utilizzo del diritto di accesso ivi disciplinato al fine di sottoporre l’amministrazione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Autorità Nazionale Anticorruzione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7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roofErr w:type="gramStart"/>
      <w:r w:rsidRPr="00D60F7A">
        <w:rPr>
          <w:rFonts w:ascii="Kristen ITC" w:hAnsi="Kristen ITC"/>
          <w:b/>
          <w:sz w:val="24"/>
          <w:szCs w:val="24"/>
        </w:rPr>
        <w:t>a</w:t>
      </w:r>
      <w:proofErr w:type="gramEnd"/>
      <w:r w:rsidRPr="00D60F7A">
        <w:rPr>
          <w:rFonts w:ascii="Kristen ITC" w:hAnsi="Kristen ITC"/>
          <w:b/>
          <w:sz w:val="24"/>
          <w:szCs w:val="24"/>
        </w:rPr>
        <w:t xml:space="preserve"> un controllo generalizzato, il diritto di accesso generalizzato, oltre che quello “semplice”, è riconosciuto proprio “allo scopo di favorire forme diffuse di controllo sul perseguimento delle funzioni istituzionali e sull’utilizzo delle risorse pubbliche e di promuovere la partecipazione al dibattito pubblico”. Dunque, l’accesso agli atti di cui alla l. 241/90 continua certamente a sussistere, ma parallelamente all’accesso civico (generalizzato e non), operando sulla base di norme e presupposti diversi.  Tenere ben distinte le due fattispecie è essenziale per calibrare i diversi interessi in gioco allorché si renda necessario un bilanciamento caso per caso tra tali interessi. Tale bilanciamento è, infatti, ben diverso nel caso dell’accesso 241 dove la tutela può consentire un accesso più in profondità a dati pertinenti e nel caso dell’accesso generalizzato, dove le esigenze di controllo diffuso del cittadino devono consentire un accesso meno in profondità (se del caso, in relazione all’operatività dei limiti) ma più esteso, avendo presente che l’accesso in questo caso comporta, di fatto, una larga conoscibilità (e diffusione) di dati, documenti e informazioni. In sostanza, come già evidenziato, essendo l’ordinamento ormai decisamente improntato ad una netta preferenza per la trasparenza dell’attività amministrativa, la conoscibilità generalizzata degli atti diviene la regola, temperata solo dalla previsione di eccezioni poste a tutela di interessi (pubblici e privati) che possono essere lesi/pregiudicati dalla rivelazione di certe informazioni. Vi saranno dunque ipotesi residuali in cui sarà possibile, ove titolari di una situazione giuridica </w:t>
      </w:r>
      <w:r w:rsidRPr="00D60F7A">
        <w:rPr>
          <w:rFonts w:ascii="Kristen ITC" w:hAnsi="Kristen ITC"/>
          <w:b/>
          <w:sz w:val="24"/>
          <w:szCs w:val="24"/>
        </w:rPr>
        <w:lastRenderedPageBreak/>
        <w:t xml:space="preserve">qualificata, accedere ad atti e documenti per i quali è invece negato l’accesso generalizzato.  Nel rinviare a quanto specificato nel § 6.3. </w:t>
      </w:r>
      <w:proofErr w:type="gramStart"/>
      <w:r w:rsidRPr="00D60F7A">
        <w:rPr>
          <w:rFonts w:ascii="Kristen ITC" w:hAnsi="Kristen ITC"/>
          <w:b/>
          <w:sz w:val="24"/>
          <w:szCs w:val="24"/>
        </w:rPr>
        <w:t>si</w:t>
      </w:r>
      <w:proofErr w:type="gramEnd"/>
      <w:r w:rsidRPr="00D60F7A">
        <w:rPr>
          <w:rFonts w:ascii="Kristen ITC" w:hAnsi="Kristen ITC"/>
          <w:b/>
          <w:sz w:val="24"/>
          <w:szCs w:val="24"/>
        </w:rPr>
        <w:t xml:space="preserve"> consideri, d’altra parte, che i dinieghi di accesso agli atti e documenti di cui alla legge 241/1990, se motivati con esigenze di “riservatezza” pubblica o privata devono essere considerati attentamente anche ai fini dell’accesso generalizzato, ove l’istanza relativa a quest’ultimo sia identica e presentata nel medesimo contesto temporale a quella dell’accesso ex. l. 241/1990, indipendentemente dal soggetto che l’ha proposta. Si intende dire, cioè, che laddove l’amministrazione, con riferimento agli stessi dati, documenti e informazioni, abbia negato il diritto di accesso ex l. 241/1990, motivando nel merito, cioè con la necessità di tutelare un interesse pubblico o privato prevalente, e quindi nonostante l’esistenza di una posizione soggettiva legittimante ai sensi della 241/1990, per ragioni di coerenza sistematica e a garanzia di posizioni individuali specificamente riconosciute dall’ordinamento, si deve ritenere che le stesse esigenze di tutela dell’interesse pubblico o privato sussistano anche in presenza di una richiesta di accesso  generalizzato, anche presentata da altri soggetti. Tali esigenze dovranno essere comunque motivate in termini di pregiudizio concreto all’interesse in gioco. Per ragioni di coerenza sistematica, quando è stato concesso un accesso generalizzato non può essere negato, per i medesimi documenti e dati, un accesso documentale.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3. Prime indicazioni operative generali per l’attuazione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3.1. Adozione di una disciplina sulle diverse tipologie di accesso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Considerata la notevole innovatività della disciplina dell’accesso generalizzato, che si aggiunge alle altre tipologie di accesso, sembra opportuno suggerire ai soggetti tenuti all’applicazione del decreto trasparenza l’adozione, anche nella forma di un regolamento interno sull’accesso, di una disciplina che fornisca un quadro organico e coordinato dei profili applicativi relativi alle tre tipologie di accesso, con il fine di dare attuazione al nuovo principio di trasparenza introdotto dal legislatore e di evitare comportamenti disomogenei tra uffici della stessa amministrazione.  In particolare, tale disciplina potrebbe prevedere: 1. </w:t>
      </w:r>
      <w:proofErr w:type="gramStart"/>
      <w:r w:rsidRPr="00D60F7A">
        <w:rPr>
          <w:rFonts w:ascii="Kristen ITC" w:hAnsi="Kristen ITC"/>
          <w:b/>
          <w:sz w:val="24"/>
          <w:szCs w:val="24"/>
        </w:rPr>
        <w:t>una</w:t>
      </w:r>
      <w:proofErr w:type="gramEnd"/>
      <w:r w:rsidRPr="00D60F7A">
        <w:rPr>
          <w:rFonts w:ascii="Kristen ITC" w:hAnsi="Kristen ITC"/>
          <w:b/>
          <w:sz w:val="24"/>
          <w:szCs w:val="24"/>
        </w:rPr>
        <w:t xml:space="preserve"> sezione dedicata alla disciplina dell’accesso documentale;  2. </w:t>
      </w:r>
      <w:proofErr w:type="gramStart"/>
      <w:r w:rsidRPr="00D60F7A">
        <w:rPr>
          <w:rFonts w:ascii="Kristen ITC" w:hAnsi="Kristen ITC"/>
          <w:b/>
          <w:sz w:val="24"/>
          <w:szCs w:val="24"/>
        </w:rPr>
        <w:t>una</w:t>
      </w:r>
      <w:proofErr w:type="gramEnd"/>
      <w:r w:rsidRPr="00D60F7A">
        <w:rPr>
          <w:rFonts w:ascii="Kristen ITC" w:hAnsi="Kristen ITC"/>
          <w:b/>
          <w:sz w:val="24"/>
          <w:szCs w:val="24"/>
        </w:rPr>
        <w:t xml:space="preserve"> seconda sezione dedicata alla disciplina dell’accesso civico (“semplice”) connesso agli obblighi di pubblicazione di cui al d.lgs. n. 33;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lastRenderedPageBreak/>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Autorità Nazionale Anticorruzione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8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3. una terza sezione dedicata alla disciplina dell’accesso generalizzato.  Tale sezione dovrebbe disciplinare gli aspetti procedimentali interni per la gestione delle richieste di accesso generalizzato. Si tratterebbe, quindi, di: a) provvedere a individuare gli uffici competenti a decidere sulle richieste di accesso generalizzato; b) provvedere a disciplinare la procedura per la valutazione caso per caso delle richieste di accesso.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3.2. Adeguamenti organizzativi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Al fine di rafforzare il coordinamento dei comportamenti sulle richieste di accesso si invitano  le amministrazioni e gli altri soggetti tenuti ad adottare anche adeguate soluzioni organizzative, quali, ad esempio, la concentrazione della competenza a decidere sulle richieste di accesso in un unico ufficio (dotato di risorse professionali adeguate, che si specializzano nel tempo, accumulando </w:t>
      </w:r>
      <w:proofErr w:type="spellStart"/>
      <w:r w:rsidRPr="00D60F7A">
        <w:rPr>
          <w:rFonts w:ascii="Kristen ITC" w:hAnsi="Kristen ITC"/>
          <w:b/>
          <w:sz w:val="24"/>
          <w:szCs w:val="24"/>
        </w:rPr>
        <w:t>know</w:t>
      </w:r>
      <w:proofErr w:type="spellEnd"/>
      <w:r w:rsidRPr="00D60F7A">
        <w:rPr>
          <w:rFonts w:ascii="Kristen ITC" w:hAnsi="Kristen ITC"/>
          <w:b/>
          <w:sz w:val="24"/>
          <w:szCs w:val="24"/>
        </w:rPr>
        <w:t xml:space="preserve"> </w:t>
      </w:r>
      <w:proofErr w:type="spellStart"/>
      <w:r w:rsidRPr="00D60F7A">
        <w:rPr>
          <w:rFonts w:ascii="Kristen ITC" w:hAnsi="Kristen ITC"/>
          <w:b/>
          <w:sz w:val="24"/>
          <w:szCs w:val="24"/>
        </w:rPr>
        <w:t>how</w:t>
      </w:r>
      <w:proofErr w:type="spellEnd"/>
      <w:r w:rsidRPr="00D60F7A">
        <w:rPr>
          <w:rFonts w:ascii="Kristen ITC" w:hAnsi="Kristen ITC"/>
          <w:b/>
          <w:sz w:val="24"/>
          <w:szCs w:val="24"/>
        </w:rPr>
        <w:t xml:space="preserve"> ed esperienza), che, ai fini istruttori, dialoga con gli uffici che detengono i dati richiesti.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4. Ambito soggettivo e oggettivo di applicazione dell’accesso generalizzato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4.1. Ambito soggettivo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L’ambito dei soggetti nei confronti dei quali è possibile attivare l’accesso civico è lo stesso declinato nell’art. 2 bis del decreto trasparenza come introdotto dal d.lgs. 97/2016, in virtù dell’espresso richiamo contenuto nell’art. 2, comma 1 del medesimo decreto.  Più precisamente, si tratta di: pubbliche amministrazioni (art. 2-bis, comma 1); enti pubblici economici, ordini professionali, società in controllo </w:t>
      </w:r>
      <w:r w:rsidRPr="00D60F7A">
        <w:rPr>
          <w:rFonts w:ascii="Kristen ITC" w:hAnsi="Kristen ITC"/>
          <w:b/>
          <w:sz w:val="24"/>
          <w:szCs w:val="24"/>
        </w:rPr>
        <w:lastRenderedPageBreak/>
        <w:t xml:space="preserve">pubblico ed altri enti di diritto privato assimilati (art. 2bis, comma 2); società in partecipazione pubblica ed altri enti di diritto privato assimilati (art. 2-bis, comma 3).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1. Pubbliche amministrazioni Ai fini del d.lgs. n. 33/2013 per “pubbliche amministrazioni”, si intendono “tutte le amministrazioni di cui all’articolo 1, comma 2 del decreto legislativo 30 marzo 2001, n. 165 e successive modificazioni, ivi comprese le autorità portuali, nonché le autorità amministrative indipendenti di garanzia, vigilanza e regolazione” (art. 2-bis, comma 1 del d.lgs. n. 33/2013).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2. Enti pubblici economici, ordini professionali, società in controllo pubblico ed altri enti di diritto privato assimilati La medesima disciplina prevista per le pubbliche amministrazioni sopra richiamate è estesa, “in quanto compatibile”, anche a: a) enti pubblici economici e ordini professionali; b) società in controllo pubblico come definite dal decreto legislativo emanato in attuazione dell’art. 18 della legge 7 agosto 2015, n. 124 (d.lgs. 175/2016 c.d. Testo unico in materia di società a partecipazione pubblica).  c) associazioni, fondazioni e enti di diritto privato comunque denominati, anche privi di personalità giuridica, con bilancio superiore a cinquecentomila euro, la cui attività sia finanziata in modo maggioritario per almeno due esercizi finanziari consecutivi nell’ultimo triennio da pubbliche amministrazioni e in cui la totalità dei titolari o dei componenti dell’organo d’amministrazione o di indirizzo sia designata da pubbliche amministrazioni.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3. Società in partecipazione pubblica ed altri enti di diritto privato assimilati La medesima disciplina si applica, sempre in quanto compatibile, e “limitatamente ai dati e ai documenti inerenti all'attività di pubblico interesse disciplinata dal diritto nazionale o dell'Unione europea” alle società in partecipazione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Autorità Nazionale Anticorruzione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lastRenderedPageBreak/>
        <w:t xml:space="preserve">9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roofErr w:type="gramStart"/>
      <w:r w:rsidRPr="00D60F7A">
        <w:rPr>
          <w:rFonts w:ascii="Kristen ITC" w:hAnsi="Kristen ITC"/>
          <w:b/>
          <w:sz w:val="24"/>
          <w:szCs w:val="24"/>
        </w:rPr>
        <w:t>pubblica</w:t>
      </w:r>
      <w:proofErr w:type="gramEnd"/>
      <w:r w:rsidRPr="00D60F7A">
        <w:rPr>
          <w:rFonts w:ascii="Kristen ITC" w:hAnsi="Kristen ITC"/>
          <w:b/>
          <w:sz w:val="24"/>
          <w:szCs w:val="24"/>
        </w:rPr>
        <w:t xml:space="preserve">, come definite dal decreto legislativo emanato in attuazione dell’art. 18 della legge 7 agosto 2015, n. 124 (d.lgs. 175/2016) nonché alle associazioni, alle fondazioni e agli enti di diritto privato, anche privi di personalità giuridica, con bilancio superiore a cinquecentomila euro, che esercitano funzioni amministrative, attività di produzione di beni e servizi a favore delle amministrazioni pubbliche o di gestione di servizi pubblici.  Per le categorie di soggetti di cui ai punti 2 e 3 il legislatore prevede che la disciplina della trasparenza si applichi “in quanto compatibile”. Il principio della compatibilità, tuttavia, concerne la sola necessità di trovare adattamenti agli obblighi di pubblicazione in ragione delle caratteristiche organizzative e funzionali dei citati soggetti. Non è invece operante per quel che concerne l’accesso generalizzato, stante la ratio e la funzione </w:t>
      </w:r>
      <w:proofErr w:type="gramStart"/>
      <w:r w:rsidRPr="00D60F7A">
        <w:rPr>
          <w:rFonts w:ascii="Kristen ITC" w:hAnsi="Kristen ITC"/>
          <w:b/>
          <w:sz w:val="24"/>
          <w:szCs w:val="24"/>
        </w:rPr>
        <w:t>del  generalizzato</w:t>
      </w:r>
      <w:proofErr w:type="gramEnd"/>
      <w:r w:rsidRPr="00D60F7A">
        <w:rPr>
          <w:rFonts w:ascii="Kristen ITC" w:hAnsi="Kristen ITC"/>
          <w:b/>
          <w:sz w:val="24"/>
          <w:szCs w:val="24"/>
        </w:rPr>
        <w:t xml:space="preserve"> descritta nel primo paragrafo delle presenti Linee guida.  </w:t>
      </w:r>
      <w:proofErr w:type="gramStart"/>
      <w:r w:rsidRPr="00D60F7A">
        <w:rPr>
          <w:rFonts w:ascii="Kristen ITC" w:hAnsi="Kristen ITC"/>
          <w:b/>
          <w:sz w:val="24"/>
          <w:szCs w:val="24"/>
        </w:rPr>
        <w:t>L’accesso  generalizzato</w:t>
      </w:r>
      <w:proofErr w:type="gramEnd"/>
      <w:r w:rsidRPr="00D60F7A">
        <w:rPr>
          <w:rFonts w:ascii="Kristen ITC" w:hAnsi="Kristen ITC"/>
          <w:b/>
          <w:sz w:val="24"/>
          <w:szCs w:val="24"/>
        </w:rPr>
        <w:t xml:space="preserve">, pertanto, è da ritenersi senza dubbio un istituto “compatibile” con la natura e le finalità dei soggetti sopra elencati ai punti 2 e 3, considerato che l’attività svolta da tali soggetti è volta alla cura di interessi pubblici. E’ necessario, inoltre, attribuire significato alla disposizione legislativa che delimita il campo di applicazione per quanto attiene ai soggetti indicati al comma 3 dell’art. 2 bis del decreto trasparenza, limitatamente ai dati e ai documenti inerenti all’attività di pubblico interesse disciplinata dal diritto nazionale o dell’Unione europea.  L’intento del legislatore è quello di garantire che la cura concreta di interessi della collettività, anche ove affidati a soggetti esterni all’apparato amministrativo vero e proprio, rispondano comunque a principi di imparzialità, del buon andamento e della trasparenza. Si ritiene che nel novero di tali attività possano rientrare quelle qualificate come tali da una norma di legge, dagli atti costitutivi o dagli statuti delle società, l’esercizio di funzioni amministrative, la gestione di servizi pubblici nonché le attività che pur non costituendo diretta esplicazione della funzione o del servizio pubblico svolti sono ad esse strumentali. Al riguardo si rinvia alle precisazioni che saranno contenute nelle Linee guida di adeguamento al d.lgs. 97/2016 della delibera ANAC 8/2015 in corso di adozione.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4.2. Ambito oggettivo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Sotto il profilo dell’ambito oggettivo, l’accesso civico generalizzato è esercitabile </w:t>
      </w:r>
      <w:r w:rsidRPr="00D60F7A">
        <w:rPr>
          <w:rFonts w:ascii="Kristen ITC" w:hAnsi="Kristen ITC"/>
          <w:b/>
          <w:sz w:val="24"/>
          <w:szCs w:val="24"/>
        </w:rPr>
        <w:lastRenderedPageBreak/>
        <w:t xml:space="preserve">relativamente “ai dati e ai documenti detenuti dalle pubbliche amministrazioni, ulteriori rispetto a quelli oggetto di pubblicazione”, ossia per i quali non sussista uno specifico obbligo di pubblicazione.  Dalla lettura dell’art. 5 bis si evince, inoltre, che oggetto dell’accesso possono essere anche le informazioni detenute dalle p.a. e dagli altri soggetti indicati al § 4.1. Il primo riferimento non è solo ai “documenti amministrativi”, ma anche ai “dati” che esprimono un concetto informativo più ampio, da riferire al dato conoscitivo come tale, indipendentemente dal supporto fisico sui cui è incorporato e a prescindere dai vincoli derivanti dalle sue modalità di organizzazione e conservazione. La distinzione tra documenti e dati acquista rilievo nella misura in cui essa comporta che l’amministrazione sia tenuta a considerare come validamente formulate, e quindi a darvi seguito, anche le richieste che si limitino a identificare/indicare i dati desiderati, e non anche i documenti in cui essi sono contenuti. Si evidenzia, tuttavia, che il testo del decreto dispone che “l’istanza di accesso civico identifica i dati, le informazioni o i documenti richiesti”; pertanto non è ammissibile una richiesta meramente esplorativa, volta semplicemente a “scoprire” di quali informazioni l’amministrazione dispone. Le richieste, inoltre, non devono essere generiche, ma consentire l’individuazione del dato, del documento o dell’informazione, con riferimento, almeno, alla loro natura e al loro oggetto1. Allo stesso modo, nei casi particolari in cui venga presentata una domanda di accesso per un numero manifestamente irragionevole di documenti, imponendo così un carico di lavoro tale da paralizzare, in modo molto sostanziale, il buon funzionamento dell’amministrazione, la stessa può ponderare, da un lato, l’interesse dell’accesso del pubblico ai documenti e, dall’altro, il carico di lavoro che ne deriverebbe, al fine di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1 Cfr. Parere C. di S. 18.2.2016, par. 11.3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Autorità Nazionale Anticorruzione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10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roofErr w:type="gramStart"/>
      <w:r w:rsidRPr="00D60F7A">
        <w:rPr>
          <w:rFonts w:ascii="Kristen ITC" w:hAnsi="Kristen ITC"/>
          <w:b/>
          <w:sz w:val="24"/>
          <w:szCs w:val="24"/>
        </w:rPr>
        <w:t>salvaguardare</w:t>
      </w:r>
      <w:proofErr w:type="gramEnd"/>
      <w:r w:rsidRPr="00D60F7A">
        <w:rPr>
          <w:rFonts w:ascii="Kristen ITC" w:hAnsi="Kristen ITC"/>
          <w:b/>
          <w:sz w:val="24"/>
          <w:szCs w:val="24"/>
        </w:rPr>
        <w:t xml:space="preserve">, in questi casi particolari e di stretta interpretazione, l’interesse ad </w:t>
      </w:r>
      <w:r w:rsidRPr="00D60F7A">
        <w:rPr>
          <w:rFonts w:ascii="Kristen ITC" w:hAnsi="Kristen ITC"/>
          <w:b/>
          <w:sz w:val="24"/>
          <w:szCs w:val="24"/>
        </w:rPr>
        <w:lastRenderedPageBreak/>
        <w:t xml:space="preserve">un buon andamento dell’amministrazione (cfr. CGUE, Tribunale Prima Sezione ampliata 13 aprile 2005 causa T 2/03).  Per quanto concerne la richiesta di informazioni, per informazioni si devono considerare le rielaborazione di dati detenuti dalle amministrazioni effettuate per propri fini contenuti in distinti documenti. Poiché la richiesta di accesso civico generalizzato riguarda i dati e i documenti detenuti dalle pubbliche amministrazioni (art. 5, comma 2 del decreto trasparenza), resta escluso che – per rispondere a tale richiesta – l’amministrazione sia tenuta a formare o raccogliere o altrimenti procurarsi informazioni che non siano già in suo possesso. Pertanto, l’amministrazione non ha l’obbligo di rielaborare i dati ai fini dell’accesso generalizzato, ma solo a consentire l’accesso ai documenti nei quali siano contenute le informazioni già detenute e gestite dall’amministrazione stessa.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5. Distinzione fra eccezioni assolute all’accesso generalizzato e “limiti” (eccezioni relative o qualificate)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Come già accennato, la regola della generale accessibilità è temperata dalla previsione di eccezioni poste a tutela di interessi pubblici e privati che possono subire un pregiudizio dalla diffusione generalizzata di talune informazioni.   Dalla lettura dell’art. 5 bis, co. 1, 2 e 3 del decreto trasparenza si possono distinguere due tipi di eccezioni, assolute o relative.  Al ricorrere di queste eccezioni, le amministrazioni, rispettivamente, devono o possono rifiutare l’accesso generalizzato. La chiara identificazione di tali eccezioni rappresenta un elemento decisivo per consentire la corretta applicazione del diritto di accesso generalizzato.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5.1. Eccezioni assolute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L’accesso generalizzato è escluso nei casi indicati al co. 3 dell’art. 5 bis, nei casi cioè in cui una norma di legge, sulla base di una valutazione preventiva e generale, per tutelare interessi prioritari e fondamentali, dispone sicuramente la non </w:t>
      </w:r>
      <w:proofErr w:type="spellStart"/>
      <w:r w:rsidRPr="00D60F7A">
        <w:rPr>
          <w:rFonts w:ascii="Kristen ITC" w:hAnsi="Kristen ITC"/>
          <w:b/>
          <w:sz w:val="24"/>
          <w:szCs w:val="24"/>
        </w:rPr>
        <w:t>ostensibilità</w:t>
      </w:r>
      <w:proofErr w:type="spellEnd"/>
      <w:r w:rsidRPr="00D60F7A">
        <w:rPr>
          <w:rFonts w:ascii="Kristen ITC" w:hAnsi="Kristen ITC"/>
          <w:b/>
          <w:sz w:val="24"/>
          <w:szCs w:val="24"/>
        </w:rPr>
        <w:t xml:space="preserve"> di dati, documenti e informazioni ovvero la consente secondo particolari condizioni, modalità e/</w:t>
      </w:r>
      <w:proofErr w:type="gramStart"/>
      <w:r w:rsidRPr="00D60F7A">
        <w:rPr>
          <w:rFonts w:ascii="Kristen ITC" w:hAnsi="Kristen ITC"/>
          <w:b/>
          <w:sz w:val="24"/>
          <w:szCs w:val="24"/>
        </w:rPr>
        <w:t>o  limiti</w:t>
      </w:r>
      <w:proofErr w:type="gramEnd"/>
      <w:r w:rsidRPr="00D60F7A">
        <w:rPr>
          <w:rFonts w:ascii="Kristen ITC" w:hAnsi="Kristen ITC"/>
          <w:b/>
          <w:sz w:val="24"/>
          <w:szCs w:val="24"/>
        </w:rPr>
        <w:t xml:space="preserve">.   Solo una fonte di rango legislativo può giustificare la compressione del diritto a conoscere cui ora il nostro ordinamento è improntato.  Dette esclusioni (eccezioni assolute) ricorrono in caso </w:t>
      </w:r>
      <w:proofErr w:type="gramStart"/>
      <w:r w:rsidRPr="00D60F7A">
        <w:rPr>
          <w:rFonts w:ascii="Kristen ITC" w:hAnsi="Kristen ITC"/>
          <w:b/>
          <w:sz w:val="24"/>
          <w:szCs w:val="24"/>
        </w:rPr>
        <w:t>di:  a</w:t>
      </w:r>
      <w:proofErr w:type="gramEnd"/>
      <w:r w:rsidRPr="00D60F7A">
        <w:rPr>
          <w:rFonts w:ascii="Kristen ITC" w:hAnsi="Kristen ITC"/>
          <w:b/>
          <w:sz w:val="24"/>
          <w:szCs w:val="24"/>
        </w:rPr>
        <w:t xml:space="preserve">) segreto di Stato;  b) negli altri casi di divieto di accesso o divulgazione previsti dalla legge, ivi compresi </w:t>
      </w:r>
      <w:r w:rsidRPr="00D60F7A">
        <w:rPr>
          <w:rFonts w:ascii="Kristen ITC" w:hAnsi="Kristen ITC"/>
          <w:b/>
          <w:sz w:val="24"/>
          <w:szCs w:val="24"/>
        </w:rPr>
        <w:lastRenderedPageBreak/>
        <w:t xml:space="preserve">i casi in cui l’accesso è subordinato dalla disciplina vigente al rispetto di specifiche modalità o limiti, inclusi quelli di cui all’art. 24, comma 1, della legge n. 241 del 1990. Con riferimento a quest’ultima indicazione normativa, va registrato che essa delinea una parziale sovrapposizione delle eccezioni assolute dell’accesso generalizzato con quelle previste nella l. 241/1990. Stanti, tuttavia, le diverse finalità dei due istituti, l’individuazione di queste esclusioni, come si avrà modo di chiarire in seguito, si rivela di particolare delicatezza.  In generale, il rinvio della disciplina dell’accesso generalizzato a quella delle esclusioni della legge 241/1990 non può che essere letto alla luce delle finalità di ampia </w:t>
      </w:r>
      <w:proofErr w:type="spellStart"/>
      <w:r w:rsidRPr="00D60F7A">
        <w:rPr>
          <w:rFonts w:ascii="Kristen ITC" w:hAnsi="Kristen ITC"/>
          <w:b/>
          <w:sz w:val="24"/>
          <w:szCs w:val="24"/>
        </w:rPr>
        <w:t>disclosure</w:t>
      </w:r>
      <w:proofErr w:type="spellEnd"/>
      <w:r w:rsidRPr="00D60F7A">
        <w:rPr>
          <w:rFonts w:ascii="Kristen ITC" w:hAnsi="Kristen ITC"/>
          <w:b/>
          <w:sz w:val="24"/>
          <w:szCs w:val="24"/>
        </w:rPr>
        <w:t xml:space="preserve"> sottesa alla nuova normativa e richiamate nella prima parte di queste linee guida.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5.2. Limiti (eccezioni relative o qualificate)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Al di fuori dei casi sopra indicati, possono ricorrere, invece, limiti (eccezioni relative o qualificate) posti a tutela di interessi pubblici e privati di particolare rilievo giuridico elencati ai commi 1 e 2 dell’art. 5-bis del decreto trasparenza.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Autorità Nazionale Anticorruzione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11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Il legislatore non opera, come nel caso delle eccezioni assolute, una generale e preventiva individuazione di esclusioni all’accesso generalizzato, ma rinvia a una attività valutativa che deve essere effettuata dalle amministrazioni con la tecnica del bilanciamento, caso per caso, tra l’interesse pubblico alla </w:t>
      </w:r>
      <w:proofErr w:type="spellStart"/>
      <w:r w:rsidRPr="00D60F7A">
        <w:rPr>
          <w:rFonts w:ascii="Kristen ITC" w:hAnsi="Kristen ITC"/>
          <w:b/>
          <w:sz w:val="24"/>
          <w:szCs w:val="24"/>
        </w:rPr>
        <w:t>disclosure</w:t>
      </w:r>
      <w:proofErr w:type="spellEnd"/>
      <w:r w:rsidRPr="00D60F7A">
        <w:rPr>
          <w:rFonts w:ascii="Kristen ITC" w:hAnsi="Kristen ITC"/>
          <w:b/>
          <w:sz w:val="24"/>
          <w:szCs w:val="24"/>
        </w:rPr>
        <w:t xml:space="preserve"> generalizzata e la tutela di altrettanto validi interessi considerati dall’ordinamento. L’amministrazione, cioè, è tenuta a verificare, una volta accertata l’assenza di eccezioni assolute, se l’ostensione degli atti possa determinare un pregiudizio concreto e probabile agli interessi indicati dal legislatore.  Affinché l’accesso possa essere rifiutato, il pregiudizio agli interessi considerati dai commi 1 e 2 deve essere concreto quindi deve sussistere un preciso nesso di causalità tra l’accesso e il </w:t>
      </w:r>
      <w:r w:rsidRPr="00D60F7A">
        <w:rPr>
          <w:rFonts w:ascii="Kristen ITC" w:hAnsi="Kristen ITC"/>
          <w:b/>
          <w:sz w:val="24"/>
          <w:szCs w:val="24"/>
        </w:rPr>
        <w:lastRenderedPageBreak/>
        <w:t xml:space="preserve">pregiudizio. L’amministrazione, in altre parole, non può limitarsi a prefigurare il rischio di un pregiudizio in via generica e astratta, ma dovrà: a) indicare chiaramente quale – tra gli interessi elencati all’art. 5 bis, co. 1 e 2 – viene pregiudicato; b) valutare se il pregiudizio (concreto) prefigurato dipende direttamente dalla </w:t>
      </w:r>
      <w:proofErr w:type="spellStart"/>
      <w:proofErr w:type="gramStart"/>
      <w:r w:rsidRPr="00D60F7A">
        <w:rPr>
          <w:rFonts w:ascii="Kristen ITC" w:hAnsi="Kristen ITC"/>
          <w:b/>
          <w:sz w:val="24"/>
          <w:szCs w:val="24"/>
        </w:rPr>
        <w:t>disclosure</w:t>
      </w:r>
      <w:proofErr w:type="spellEnd"/>
      <w:r w:rsidRPr="00D60F7A">
        <w:rPr>
          <w:rFonts w:ascii="Kristen ITC" w:hAnsi="Kristen ITC"/>
          <w:b/>
          <w:sz w:val="24"/>
          <w:szCs w:val="24"/>
        </w:rPr>
        <w:t xml:space="preserve">  dell’informazione</w:t>
      </w:r>
      <w:proofErr w:type="gramEnd"/>
      <w:r w:rsidRPr="00D60F7A">
        <w:rPr>
          <w:rFonts w:ascii="Kristen ITC" w:hAnsi="Kristen ITC"/>
          <w:b/>
          <w:sz w:val="24"/>
          <w:szCs w:val="24"/>
        </w:rPr>
        <w:t xml:space="preserve"> richiesta;  c) valutare se il pregiudizio conseguente alla </w:t>
      </w:r>
      <w:proofErr w:type="spellStart"/>
      <w:r w:rsidRPr="00D60F7A">
        <w:rPr>
          <w:rFonts w:ascii="Kristen ITC" w:hAnsi="Kristen ITC"/>
          <w:b/>
          <w:sz w:val="24"/>
          <w:szCs w:val="24"/>
        </w:rPr>
        <w:t>disclosure</w:t>
      </w:r>
      <w:proofErr w:type="spellEnd"/>
      <w:r w:rsidRPr="00D60F7A">
        <w:rPr>
          <w:rFonts w:ascii="Kristen ITC" w:hAnsi="Kristen ITC"/>
          <w:b/>
          <w:sz w:val="24"/>
          <w:szCs w:val="24"/>
        </w:rPr>
        <w:t xml:space="preserve"> è un evento altamente probabile, e non soltanto possibile.  Detta valutazione, proprio perché relativa alla identificazione di un pregiudizio in concreto, non può essere compiuta che con riferimento al contesto temporale in cui viene formulata la domanda di accesso: il pregiudizio concreto, in altri termini, va valutato rispetto al momento ed al contesto in cui l’informazione viene resa accessibile, e non in termini assoluti ed atemporali. Tale processo logico è confermato dalle previsioni dei commi 4 e 5 dell’art. 5-bis del decreto trasparenza: da una parte, il diniego dell’accesso non è giustificato, se ai fini della protezione di tale interesse è sufficiente il differimento dello stesso per la tutela degli interessi considerati dalla norma (art. 5-bis, comma 5). I limiti, cioè, operano nell’arco temporale nel quale la tutela è giustificata in relazione alla natura del dato, del documento o dell’informazione di cui si chiede l’accesso (art. 5-bis co. 5). Allo stesso modo, l’amministrazione dovrà consentire l’accesso parziale utilizzando, se del caso, la tecnica dell’oscuramento di alcuni dati, qualora la protezione dell’interesse sotteso alla eccezione sia invece assicurato dal diniego di accesso di una parte soltanto di esso. In questo caso, l’amministrazione è tenuta a consentire l’accesso alle parti restanti (art. 5-bis, comma 4, secondo alinea).   L’amministrazione è tenuta quindi a privilegiare la scelta che, pur non oltrepassando i limiti di ciò che può essere ragionevolmente richiesto, sia la più favorevole al diritto di accesso del richiedente.  Il principio di proporzionalità, infatti, esige che le deroghe non eccedano quanto è adeguato e necessario per raggiungere lo scopo perseguito (cfr. sul punto CGUE, 15 maggio 1986, causa C- 222/84; Tribunale Prima Sezione ampliata 13 aprile 2005 causa T 2/03).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5.3. La motivazione del diniego o dell’accoglimento della richiesta di accesso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Nella risposta negativa o parzialmente tale, sia per i casi di diniego connessi all’esistenza di limiti di cui ai co. 1 e 2 che per quelli connessi all’esistenza di casi di eccezioni assolute di cui al co. 3, l’amministrazione è tenuta a una congrua e completa, motivazione, tanto più necessaria in una fase sicuramente sperimentale quale quella che si apre con le prime richieste di accesso. La motivazione serve all’amministrazione per definire progressivamente proprie linee di condotta </w:t>
      </w:r>
      <w:r w:rsidRPr="00D60F7A">
        <w:rPr>
          <w:rFonts w:ascii="Kristen ITC" w:hAnsi="Kristen ITC"/>
          <w:b/>
          <w:sz w:val="24"/>
          <w:szCs w:val="24"/>
        </w:rPr>
        <w:lastRenderedPageBreak/>
        <w:t xml:space="preserve">ragionevoli e legittime, al cittadino per comprendere ampiezza e limiti dell’accesso generalizzato, al giudice per sindacare adeguatamente le decisioni dell’amministrazione.  Possono, tuttavia, verificarsi circostanze in cui potrebbe essere pregiudizievole dell’interesse coinvolto imporre all’amministrazione anche solo di confermare o negare di essere in possesso di alcuni dati o informazioni (si consideri ad esempio il caso di informazioni su indagini in corso). In tali ipotesi, di stretta interpretazione, se si dovesse pretendere una puntale specificazione delle ragioni del diniego, l’amministrazione potrebbe disvelare, in tutto o in parte, proprio informazioni e dati che la normativa ha escluso o limitato dall’accesso per tutelarne la riservatezza (pubblica o privata).  Ove ci si trovi in situazioni del genere, e ove questo non comporti la rivelazione di informazioni protette, è quantomeno opportuno indicare le categorie di interessi pubblici o privati che si intendono tutelare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Autorità Nazionale Anticorruzione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12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roofErr w:type="gramStart"/>
      <w:r w:rsidRPr="00D60F7A">
        <w:rPr>
          <w:rFonts w:ascii="Kristen ITC" w:hAnsi="Kristen ITC"/>
          <w:b/>
          <w:sz w:val="24"/>
          <w:szCs w:val="24"/>
        </w:rPr>
        <w:t>e</w:t>
      </w:r>
      <w:proofErr w:type="gramEnd"/>
      <w:r w:rsidRPr="00D60F7A">
        <w:rPr>
          <w:rFonts w:ascii="Kristen ITC" w:hAnsi="Kristen ITC"/>
          <w:b/>
          <w:sz w:val="24"/>
          <w:szCs w:val="24"/>
        </w:rPr>
        <w:t xml:space="preserve"> almeno le fonti normative che prevedono l’esclusione o la limitazione dell’accesso da cui dipende la scelta dell’amministrazione.   La motivazione è necessaria anche in caso di accoglimento dell’istanza, specie nelle ipotesi in cui la richiesta lambisce diritti di soggetti terzi che, come controinteressati, sono stati coinvolti ai sensi dell’art. 5 co. 5 del decreto trasparenza.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6. Le eccezioni assolute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Una prima categoria di eccezioni è prevista dalla legge ed ha carattere tassativo. Come anticipato, si tratta di eccezioni poste da una norma di rango primario a tutela di interessi pubblici e privati fondamentali e prioritari rispetto a quello del diritto alla conoscenza diffusa. In presenza di tali eccezioni l’amministrazione è tenuta a rifiutare l’accesso (segreto di Stato o divieto di divulgazione) ovvero a </w:t>
      </w:r>
      <w:r w:rsidRPr="00D60F7A">
        <w:rPr>
          <w:rFonts w:ascii="Kristen ITC" w:hAnsi="Kristen ITC"/>
          <w:b/>
          <w:sz w:val="24"/>
          <w:szCs w:val="24"/>
        </w:rPr>
        <w:lastRenderedPageBreak/>
        <w:t xml:space="preserve">consentirlo secondo condizioni modalità e limiti previsti da norme di legge.   Nella valutazione dell’istanza di accesso, l’amministrazione deve quindi verificare che la richiesta non riguardi atti, documenti o informazioni sottratte alla possibilità di ostensione o ad accesso “condizionato” in quanto ricadenti in una delle fattispecie indicate nell’art. 5-bis co. 3.  Il legislatore rinvia ai casi di segreto di Stato, agli altri casi di divieto di accesso o divulgazione previsti dalla legge, ivi compresi i casi in cui l’accesso è subordinato dalla disciplina vigente al rispetto di specifiche condizioni, modalità o limiti, inclusi quelli di cui all'articolo 24, comma 1, della legge n. 241 del 1990.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6.1. Segreto di Stato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La definizione di Segreto di Stato è contenuta nell’art. 39 della legge 3 agosto 2007, n. 124, che ha abrogato la previgente legge 24 ottobre 1977, n. 801, secondo il quale “sono coperti dal segreto di Stato gli atti, i documenti, le notizie, le attività e ogni altra cosa la cui diffusione sia idonea a recare danno all'integrità della Repubblica, anche in relazione ad accordi internazionali, alla difesa delle istituzioni poste dalla Costituzione a suo fondamento, all’indipendenza dello Stato rispetto agli altri Stati e alle relazioni con essi, alla preparazione e alla difesa militare dello Stato”.  Il Segreto di Stato è finalizzato alla salvaguardia di supremi e imprescindibili interessi dello Stato, quali l’integrità della Repubblica, la difesa delle istituzioni, l’indipendenza dello Stato, la preparazione e la difesa militare dello Stato (art. 3, comma 1, D.P.C.M. 8 aprile 2008 attuativo del citato art. 39, comma 5 della l. n. 124/2007) e trova legittimazione costituzionale proprio in quanto mezzo o strumento necessario per raggiungere tale finalità (Corte Costituzionale, sentenza 24 maggio 1977 n. 86). Inoltre, la medesima legge prevede che il Segreto di Stato si estenda anche a cose e attività che non sono necessariamente riconducibili alla categoria di “documento amministrativo”.  Il potere di disporre il vincolo derivante dal Segreto di Stato è attribuito in via esclusiva al Presidente del Consiglio dei ministri (art. 39, comma 4) ed è stabilito un limite temporale al vincolo stesso, in quanto, decorsi quindici anni dall’apposizione del Segreto di Stato o, in mancanza di questa, dalla sua opposizione confermata, chiunque vi abbia interesse può richiedere al Presidente del Consiglio dei ministri di avere accesso alle informazioni, ai documenti, agli atti, alle attività, alle cose e ai luoghi coperti dal Segreto di Stato (art. 39, comma 7). Il Segreto in parola è opponibile anche all’autorità giudiziaria, eccetto la Corte Costituzionale. Il Segreto di Stato va tenuto distinto dalle classifiche di segretezza, disciplinate dall’art. 42 della legge n. 124/2007, che sono </w:t>
      </w:r>
      <w:r w:rsidRPr="00D60F7A">
        <w:rPr>
          <w:rFonts w:ascii="Kristen ITC" w:hAnsi="Kristen ITC"/>
          <w:b/>
          <w:sz w:val="24"/>
          <w:szCs w:val="24"/>
        </w:rPr>
        <w:lastRenderedPageBreak/>
        <w:t xml:space="preserve">apposte dalle singole amministrazioni per circoscrivere la conoscenza delle informazioni per i soggetti che abbiano necessità di accedervi o a ciò abilitati in ragione delle loro funzioni istituzionali.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6.2. Altri casi di segreto o di divieto di divulgazione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Nell’ordinamento esistono altre diverse disposizioni che prevedono espressamente casi di segreto o di divieto di divulgazione.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Autorità Nazionale Anticorruzione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13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Nelle presenti linee guida non può che rinviarsi a tali diverse disposizioni indicando di seguito alcune esemplificazioni che, in quanto tali, non sono esaustive.  Si ricorda, ad esempio, il segreto statistico, regolamentato dal d.lgs. del 6 settembre 1989 n. 322 all’art. 9; il Segreto militare disciplinato dal RD 11 luglio 1941 n. 161; le classifiche di segretezza di atti e documenti di cui all’art. 42 della l. 124/2007; il segreto bancario previsto dall’art. 7 del d.lgs. 385/1993; i limiti alla divulgazione delle informazioni e dei dati conservati negli archivi automatizzati del Centro elaborazione dati in materia di tutela dell’ordine e della sicurezza pubblica ai sensi dell’art. 9 della l. 121/1981; le disposizioni sui contratti secretati previste dall’art. 162 del d.lgs. 50/2016;  il segreto scientifico e il segreto  industriale di cui all’art. 623 del c.p.; il segreto sul contenuto della corrispondenza (art. 616 ss. c.p.); il segreto professionale (art. 622 c.p. e 200 c.p.p.) e i “pareri legali” che attengono al diritto di difesa in un procedimento contenzioso (giudiziario, arbitrale o amministrativa) come confermato anche dagli artt. 2 e 5 del </w:t>
      </w:r>
      <w:proofErr w:type="spellStart"/>
      <w:r w:rsidRPr="00D60F7A">
        <w:rPr>
          <w:rFonts w:ascii="Kristen ITC" w:hAnsi="Kristen ITC"/>
          <w:b/>
          <w:sz w:val="24"/>
          <w:szCs w:val="24"/>
        </w:rPr>
        <w:t>dPCM</w:t>
      </w:r>
      <w:proofErr w:type="spellEnd"/>
      <w:r w:rsidRPr="00D60F7A">
        <w:rPr>
          <w:rFonts w:ascii="Kristen ITC" w:hAnsi="Kristen ITC"/>
          <w:b/>
          <w:sz w:val="24"/>
          <w:szCs w:val="24"/>
        </w:rPr>
        <w:t xml:space="preserve"> 26.1.1996, n. 200; i divieti di divulgazione connessi al segreto d’ufficio come disciplinato dall’art. 15 del </w:t>
      </w:r>
      <w:proofErr w:type="spellStart"/>
      <w:r w:rsidRPr="00D60F7A">
        <w:rPr>
          <w:rFonts w:ascii="Kristen ITC" w:hAnsi="Kristen ITC"/>
          <w:b/>
          <w:sz w:val="24"/>
          <w:szCs w:val="24"/>
        </w:rPr>
        <w:t>d.P.R.</w:t>
      </w:r>
      <w:proofErr w:type="spellEnd"/>
      <w:r w:rsidRPr="00D60F7A">
        <w:rPr>
          <w:rFonts w:ascii="Kristen ITC" w:hAnsi="Kristen ITC"/>
          <w:b/>
          <w:sz w:val="24"/>
          <w:szCs w:val="24"/>
        </w:rPr>
        <w:t xml:space="preserve"> n. 3/1957. Tra i casi di segreto previsti dall’ordinamento, rientra quello istruttorio in sede penale, delineato dall’art. 329 c.p.p., a tenore del quale “gli atti di indagine compiuti dal pubblico ministero e dalla polizia giudiziaria sono coperti da segreto </w:t>
      </w:r>
      <w:r w:rsidRPr="00D60F7A">
        <w:rPr>
          <w:rFonts w:ascii="Kristen ITC" w:hAnsi="Kristen ITC"/>
          <w:b/>
          <w:sz w:val="24"/>
          <w:szCs w:val="24"/>
        </w:rPr>
        <w:lastRenderedPageBreak/>
        <w:t>fino a quando l’imputato non ne possa avere conoscenza e, comunque, non oltre la chiusura delle indagini preliminari”. In questo caso la disciplina sull’accessibilità è regolata direttamente dal codice di procedura penale e a essa è necessario fare esclusivo riferimento. Regolata dalla disciplina particolare della legge 124/</w:t>
      </w:r>
      <w:proofErr w:type="gramStart"/>
      <w:r w:rsidRPr="00D60F7A">
        <w:rPr>
          <w:rFonts w:ascii="Kristen ITC" w:hAnsi="Kristen ITC"/>
          <w:b/>
          <w:sz w:val="24"/>
          <w:szCs w:val="24"/>
        </w:rPr>
        <w:t>2007,  è</w:t>
      </w:r>
      <w:proofErr w:type="gramEnd"/>
      <w:r w:rsidRPr="00D60F7A">
        <w:rPr>
          <w:rFonts w:ascii="Kristen ITC" w:hAnsi="Kristen ITC"/>
          <w:b/>
          <w:sz w:val="24"/>
          <w:szCs w:val="24"/>
        </w:rPr>
        <w:t xml:space="preserve"> anche la trasmissione di informazioni e analisi a enti esterni al Sistema di informazione per la sicurezza della Repubblica che può essere effettuata solo su autorizzazione del Presidente del Consiglio dei Ministri o dell’Autorità delegata, sentito il CISR (art. 4, co. 3 </w:t>
      </w:r>
      <w:proofErr w:type="spellStart"/>
      <w:r w:rsidRPr="00D60F7A">
        <w:rPr>
          <w:rFonts w:ascii="Kristen ITC" w:hAnsi="Kristen ITC"/>
          <w:b/>
          <w:sz w:val="24"/>
          <w:szCs w:val="24"/>
        </w:rPr>
        <w:t>lett</w:t>
      </w:r>
      <w:proofErr w:type="spellEnd"/>
      <w:r w:rsidRPr="00D60F7A">
        <w:rPr>
          <w:rFonts w:ascii="Kristen ITC" w:hAnsi="Kristen ITC"/>
          <w:b/>
          <w:sz w:val="24"/>
          <w:szCs w:val="24"/>
        </w:rPr>
        <w:t xml:space="preserve">. f) l. 124/2007). Salvo che non sia possibile un accesso parziale, con oscuramento dei dati, alcuni divieti di divulgazione sono previsti dalla normativa vigente in materia di tutela della riservatezza con riferimento a:  </w:t>
      </w:r>
      <w:r w:rsidRPr="00D60F7A">
        <w:rPr>
          <w:rFonts w:ascii="Kristen ITC" w:hAnsi="Kristen ITC"/>
          <w:b/>
          <w:sz w:val="24"/>
          <w:szCs w:val="24"/>
        </w:rPr>
        <w:t xml:space="preserve"> dati idonei a rivelare lo stato di salute, ossia a qualsiasi informazione da cui si possa desumere, anche indirettamente, lo stato di malattia o l’esistenza di patologie dei soggetti interessati, compreso qualsiasi riferimento alle condizioni di invalidità, disabilità o handicap fisici e/o psichici (art. 22, comma 8, del Codice; art. 7-bis, comma 6, d. </w:t>
      </w:r>
      <w:proofErr w:type="spellStart"/>
      <w:r w:rsidRPr="00D60F7A">
        <w:rPr>
          <w:rFonts w:ascii="Kristen ITC" w:hAnsi="Kristen ITC"/>
          <w:b/>
          <w:sz w:val="24"/>
          <w:szCs w:val="24"/>
        </w:rPr>
        <w:t>lgs</w:t>
      </w:r>
      <w:proofErr w:type="spellEnd"/>
      <w:r w:rsidRPr="00D60F7A">
        <w:rPr>
          <w:rFonts w:ascii="Kristen ITC" w:hAnsi="Kristen ITC"/>
          <w:b/>
          <w:sz w:val="24"/>
          <w:szCs w:val="24"/>
        </w:rPr>
        <w:t xml:space="preserve">. n. 33/2013).  </w:t>
      </w:r>
      <w:r w:rsidRPr="00D60F7A">
        <w:rPr>
          <w:rFonts w:ascii="Kristen ITC" w:hAnsi="Kristen ITC"/>
          <w:b/>
          <w:sz w:val="24"/>
          <w:szCs w:val="24"/>
        </w:rPr>
        <w:t xml:space="preserve"> </w:t>
      </w:r>
      <w:proofErr w:type="gramStart"/>
      <w:r w:rsidRPr="00D60F7A">
        <w:rPr>
          <w:rFonts w:ascii="Kristen ITC" w:hAnsi="Kristen ITC"/>
          <w:b/>
          <w:sz w:val="24"/>
          <w:szCs w:val="24"/>
        </w:rPr>
        <w:t>dati</w:t>
      </w:r>
      <w:proofErr w:type="gramEnd"/>
      <w:r w:rsidRPr="00D60F7A">
        <w:rPr>
          <w:rFonts w:ascii="Kristen ITC" w:hAnsi="Kristen ITC"/>
          <w:b/>
          <w:sz w:val="24"/>
          <w:szCs w:val="24"/>
        </w:rPr>
        <w:t xml:space="preserve"> idonei a rivelare la vita sessuale (art. 7-bis, comma 6, d. </w:t>
      </w:r>
      <w:proofErr w:type="spellStart"/>
      <w:r w:rsidRPr="00D60F7A">
        <w:rPr>
          <w:rFonts w:ascii="Kristen ITC" w:hAnsi="Kristen ITC"/>
          <w:b/>
          <w:sz w:val="24"/>
          <w:szCs w:val="24"/>
        </w:rPr>
        <w:t>lgs</w:t>
      </w:r>
      <w:proofErr w:type="spellEnd"/>
      <w:r w:rsidRPr="00D60F7A">
        <w:rPr>
          <w:rFonts w:ascii="Kristen ITC" w:hAnsi="Kristen ITC"/>
          <w:b/>
          <w:sz w:val="24"/>
          <w:szCs w:val="24"/>
        </w:rPr>
        <w:t xml:space="preserve">. n. 33/2013). </w:t>
      </w:r>
      <w:r w:rsidRPr="00D60F7A">
        <w:rPr>
          <w:rFonts w:ascii="Kristen ITC" w:hAnsi="Kristen ITC"/>
          <w:b/>
          <w:sz w:val="24"/>
          <w:szCs w:val="24"/>
        </w:rPr>
        <w:t xml:space="preserve"> </w:t>
      </w:r>
      <w:proofErr w:type="gramStart"/>
      <w:r w:rsidRPr="00D60F7A">
        <w:rPr>
          <w:rFonts w:ascii="Kristen ITC" w:hAnsi="Kristen ITC"/>
          <w:b/>
          <w:sz w:val="24"/>
          <w:szCs w:val="24"/>
        </w:rPr>
        <w:t>dati</w:t>
      </w:r>
      <w:proofErr w:type="gramEnd"/>
      <w:r w:rsidRPr="00D60F7A">
        <w:rPr>
          <w:rFonts w:ascii="Kristen ITC" w:hAnsi="Kristen ITC"/>
          <w:b/>
          <w:sz w:val="24"/>
          <w:szCs w:val="24"/>
        </w:rPr>
        <w:t xml:space="preserve"> identificativi di persone fisiche beneficiarie di aiuti economici da cui è possibile ricavare informazioni relative allo stato di salute ovvero alla situazione di disagio economico-sociale degli interessati (limite alla pubblicazione previsto dall’art. 26, comma 4, d. </w:t>
      </w:r>
      <w:proofErr w:type="spellStart"/>
      <w:r w:rsidRPr="00D60F7A">
        <w:rPr>
          <w:rFonts w:ascii="Kristen ITC" w:hAnsi="Kristen ITC"/>
          <w:b/>
          <w:sz w:val="24"/>
          <w:szCs w:val="24"/>
        </w:rPr>
        <w:t>lgs</w:t>
      </w:r>
      <w:proofErr w:type="spellEnd"/>
      <w:r w:rsidRPr="00D60F7A">
        <w:rPr>
          <w:rFonts w:ascii="Kristen ITC" w:hAnsi="Kristen ITC"/>
          <w:b/>
          <w:sz w:val="24"/>
          <w:szCs w:val="24"/>
        </w:rPr>
        <w:t xml:space="preserve">. n. 33/2013) Resta, in ogni caso, ferma la possibilità che i dati personali per i quali sia stato negato l’accesso generalizzato possano essere resi ostensibili al soggetto che abbia comunque motivato nell’istanza l’esistenza di «un interesse diretto, concreto e attuale, corrispondente ad una situazione giuridicamente tutelata e collegata al documento al quale è chiesto l’accesso», trasformando di fatto, con riferimento alla conoscenza dei dati personali, l’istanza di accesso generalizzato in un’istanza di accesso ai sensi della l. 241/1990. Il diritto di accesso ai propri dati personali rimane, invece, regolato dagli artt. 7 ss. del d. </w:t>
      </w:r>
      <w:proofErr w:type="spellStart"/>
      <w:r w:rsidRPr="00D60F7A">
        <w:rPr>
          <w:rFonts w:ascii="Kristen ITC" w:hAnsi="Kristen ITC"/>
          <w:b/>
          <w:sz w:val="24"/>
          <w:szCs w:val="24"/>
        </w:rPr>
        <w:t>lgs</w:t>
      </w:r>
      <w:proofErr w:type="spellEnd"/>
      <w:r w:rsidRPr="00D60F7A">
        <w:rPr>
          <w:rFonts w:ascii="Kristen ITC" w:hAnsi="Kristen ITC"/>
          <w:b/>
          <w:sz w:val="24"/>
          <w:szCs w:val="24"/>
        </w:rPr>
        <w:t xml:space="preserve">. n. 196/2003 e dal procedimento ivi previsto per la relativa tutela, inclusi i limiti di conoscibilità espressamente previsti anche nei confronti dell’interessato medesimo (art. 8 del d.lgs. n. 196/2003).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6.3. Eccezioni assolute in caso in cui l’accesso è subordinato dalla “disciplina vigente al rispetto di specifiche condizioni, modalità o limiti, inclusi quelli di cui all’art. 24 c. 1 della legge 241/1990”.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Il co. 3 dell’art. 5-bis prevede nei casi di esclusione dell’accesso generalizzato anche quelli in cui l’accesso è subordinato dalla “disciplina vigente al rispetto di specifiche condizioni, modalità o limiti, inclusi quelli di cui all’art. 24 c. 1 della legge 241/1990”. </w:t>
      </w:r>
      <w:r w:rsidRPr="00D60F7A">
        <w:rPr>
          <w:rFonts w:ascii="Kristen ITC" w:hAnsi="Kristen ITC"/>
          <w:b/>
          <w:sz w:val="24"/>
          <w:szCs w:val="24"/>
        </w:rPr>
        <w:lastRenderedPageBreak/>
        <w:t xml:space="preserve">Si tratta, a ben vedere, nella maggior parte, di ipotesi in cui l’accesso non è escluso assolutamente, ma è subordinato a condizioni particolari o al possibile uso del potere di differimento da parte delle </w:t>
      </w:r>
      <w:proofErr w:type="gramStart"/>
      <w:r w:rsidRPr="00D60F7A">
        <w:rPr>
          <w:rFonts w:ascii="Kristen ITC" w:hAnsi="Kristen ITC"/>
          <w:b/>
          <w:sz w:val="24"/>
          <w:szCs w:val="24"/>
        </w:rPr>
        <w:t>p.a..</w:t>
      </w:r>
      <w:proofErr w:type="gramEnd"/>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Autorità Nazionale Anticorruzione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14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Si consideri la disciplina sugli atti dello stato civile e quella sulle informazioni contenute nelle anagrafi della popolazione conoscibili nelle modalità previste dalle relative discipline di settore2, agli Archivi di Stato e altri Archivi disciplinati dagli artt. 122 ss. del D. </w:t>
      </w:r>
      <w:proofErr w:type="spellStart"/>
      <w:r w:rsidRPr="00D60F7A">
        <w:rPr>
          <w:rFonts w:ascii="Kristen ITC" w:hAnsi="Kristen ITC"/>
          <w:b/>
          <w:sz w:val="24"/>
          <w:szCs w:val="24"/>
        </w:rPr>
        <w:t>Lgs</w:t>
      </w:r>
      <w:proofErr w:type="spellEnd"/>
      <w:r w:rsidRPr="00D60F7A">
        <w:rPr>
          <w:rFonts w:ascii="Kristen ITC" w:hAnsi="Kristen ITC"/>
          <w:b/>
          <w:sz w:val="24"/>
          <w:szCs w:val="24"/>
        </w:rPr>
        <w:t xml:space="preserve">. 22/01/2004, n. 42 «Codice dei beni culturali e del paesaggio, ai sensi dell’articolo 10 della legge 6 luglio 2002, n. 137, che ne regolano le forme di consultazione; agli elenchi dei contribuenti e alle relative dichiarazioni dei redditi la cui visione ed estrazione di copia è ammessa nelle forme stabile dall’art. 69, comma 6, del </w:t>
      </w:r>
      <w:proofErr w:type="spellStart"/>
      <w:r w:rsidRPr="00D60F7A">
        <w:rPr>
          <w:rFonts w:ascii="Kristen ITC" w:hAnsi="Kristen ITC"/>
          <w:b/>
          <w:sz w:val="24"/>
          <w:szCs w:val="24"/>
        </w:rPr>
        <w:t>d.P.R.</w:t>
      </w:r>
      <w:proofErr w:type="spellEnd"/>
      <w:r w:rsidRPr="00D60F7A">
        <w:rPr>
          <w:rFonts w:ascii="Kristen ITC" w:hAnsi="Kristen ITC"/>
          <w:b/>
          <w:sz w:val="24"/>
          <w:szCs w:val="24"/>
        </w:rPr>
        <w:t xml:space="preserve"> n. 600/19733. Relativamente al rinvio all’art. 24 co. 1 della legge 241/1990, riferita al diverso istituto dell’accesso agli atti, detta norma contiene alcune esclusioni espressamente previste anche nella disciplina dell’accesso generalizzato per i casi di segreto di Stato e di divieto di divulgazione previsti dalla legge. Al riguardo non può che rinviarsi alle considerazioni sopra espresse.  Gli altri casi indicati dall’art. 24 c. 1 della l. 241/1990 attengono: a) ai divieti di divulgazione espressamente previsti dal regolamento governativo di cui al co. 6 dell’art. 24 della legge 241/1990 e dai regolamenti delle pubbliche amministrazioni adottati ai sensi del co. 2 del medesimo articolo 24; b) nei procedimenti tributari, alle particolari norme che li regolano; c) nei confronti dell’attività della pubblica amministrazione diretta all’emanazione di atti normativi, amministrativi generali, di pianificazione e di programmazione, alle particolari disposizioni che ne regolano la formazione d) nei procedimenti selettivi, alle esclusioni dei documenti amministrativi contenenti informazioni di carattere psicoattitudinale relativi a terzi.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Con riferimento ai casi di cui alla </w:t>
      </w:r>
      <w:proofErr w:type="spellStart"/>
      <w:r w:rsidRPr="00D60F7A">
        <w:rPr>
          <w:rFonts w:ascii="Kristen ITC" w:hAnsi="Kristen ITC"/>
          <w:b/>
          <w:sz w:val="24"/>
          <w:szCs w:val="24"/>
        </w:rPr>
        <w:t>lett</w:t>
      </w:r>
      <w:proofErr w:type="spellEnd"/>
      <w:r w:rsidRPr="00D60F7A">
        <w:rPr>
          <w:rFonts w:ascii="Kristen ITC" w:hAnsi="Kristen ITC"/>
          <w:b/>
          <w:sz w:val="24"/>
          <w:szCs w:val="24"/>
        </w:rPr>
        <w:t xml:space="preserve">. a) dell’art. 24, co. 1, legge 241/1990 si </w:t>
      </w:r>
      <w:r w:rsidRPr="00D60F7A">
        <w:rPr>
          <w:rFonts w:ascii="Kristen ITC" w:hAnsi="Kristen ITC"/>
          <w:b/>
          <w:sz w:val="24"/>
          <w:szCs w:val="24"/>
        </w:rPr>
        <w:lastRenderedPageBreak/>
        <w:t xml:space="preserve">sottolinea che il regolamento governativo di cui all’art. 24 co. 6 della medesima legge 241/1990 ancora non è stato adottato né la maggior parte delle amministrazioni risulta abbia adottato i regolamenti ai sensi dell’art. 24 co. 2 che devono individuare le categorie di documenti formati o rientranti nella loro disponibilità sottratti all’accesso ai sensi del co. 1 dello stesso articolo 24 e cioè relativi alle stesse categorie di casi o procedimenti previsti in detto comma.  Giova evidenziare che il regolamento governativo di cui al co. 6 dell’art. 24 della legge 241/1990 deve disciplinare i casi di sottrazione all’accesso con riferimento alle stesse categorie di interessi che la normativa </w:t>
      </w:r>
      <w:proofErr w:type="gramStart"/>
      <w:r w:rsidRPr="00D60F7A">
        <w:rPr>
          <w:rFonts w:ascii="Kristen ITC" w:hAnsi="Kristen ITC"/>
          <w:b/>
          <w:sz w:val="24"/>
          <w:szCs w:val="24"/>
        </w:rPr>
        <w:t>sull’accesso  generalizzato</w:t>
      </w:r>
      <w:proofErr w:type="gramEnd"/>
      <w:r w:rsidRPr="00D60F7A">
        <w:rPr>
          <w:rFonts w:ascii="Kristen ITC" w:hAnsi="Kristen ITC"/>
          <w:b/>
          <w:sz w:val="24"/>
          <w:szCs w:val="24"/>
        </w:rPr>
        <w:t xml:space="preserve"> identifica come casi di esclusioni “relative” all’accesso generalizzato stesso.  Si profila, dunque, una potenziale sovrapposizione fra le due normative.  Ad avviso dell’Autorità tale potenziale sovrapposizione, è necessario sia interpretata tenendo conto della parziale coincidenza tra le categorie di interessi che, ai sensi dell’art. 24, comma 6, della l. 241/1990, giustificano l’esclusione del diritto di accesso documentale, mentre, ai sensi dell’art. 5 bis, co. 1 e 2 del decreto trasparenza, comportano eccezioni solo relative all’accesso generalizzato.  In tutti questi casi le amministrazioni, non potendo applicare le esclusioni generali del regime dell’accesso documentale, devono tenere in adeguata considerazione il grado di maggiore trasparenza al quale deve essere assoggettata l’attività istituzionale a seguito dell’intervento novellatore di cui al d.lgs. 97/16, valutando caso per caso le istanze di accesso a dati, documenti o informazioni detenute dalle medesime. Tale interpretazione è conforme all’evoluzione sostanziale del principio di trasparenza nel nostro ordinamento come indicato nel § 2 delle presenti linee guida, è sorretta dal principio della successione delle leggi nel tempo e della specialità della disciplina, ed è coerente con lo scopo della norma, che è quello di garantire un’ampia libertà di accesso ai dati e documenti delle pubbliche amministrazioni.  In considerazione di quanto sopra e tenuto conto della diversa ratio dell’accesso 241 e dell’accesso generalizzato, sarebbe comunque auspicabile che il governo, nel predisporre il regolamento ex art. 24 co. 6, valuti attentamente l’evidenziata sovrapposizione fra le due normative e individui soluzioni compatibili con la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roofErr w:type="gramStart"/>
      <w:r w:rsidRPr="00D60F7A">
        <w:rPr>
          <w:rFonts w:ascii="Kristen ITC" w:hAnsi="Kristen ITC"/>
          <w:b/>
          <w:sz w:val="24"/>
          <w:szCs w:val="24"/>
        </w:rPr>
        <w:t>2  Cfr.</w:t>
      </w:r>
      <w:proofErr w:type="gramEnd"/>
      <w:r w:rsidRPr="00D60F7A">
        <w:rPr>
          <w:rFonts w:ascii="Kristen ITC" w:hAnsi="Kristen ITC"/>
          <w:b/>
          <w:sz w:val="24"/>
          <w:szCs w:val="24"/>
        </w:rPr>
        <w:t xml:space="preserve"> artt. 33 ss. del </w:t>
      </w:r>
      <w:proofErr w:type="spellStart"/>
      <w:r w:rsidRPr="00D60F7A">
        <w:rPr>
          <w:rFonts w:ascii="Kristen ITC" w:hAnsi="Kristen ITC"/>
          <w:b/>
          <w:sz w:val="24"/>
          <w:szCs w:val="24"/>
        </w:rPr>
        <w:t>d.P.R.</w:t>
      </w:r>
      <w:proofErr w:type="spellEnd"/>
      <w:r w:rsidRPr="00D60F7A">
        <w:rPr>
          <w:rFonts w:ascii="Kristen ITC" w:hAnsi="Kristen ITC"/>
          <w:b/>
          <w:sz w:val="24"/>
          <w:szCs w:val="24"/>
        </w:rPr>
        <w:t xml:space="preserve"> n. 223/1989 [sono accessibili da chiunque, ad eccezione degli estratti per copia integrale]; artt. 106 ss. del </w:t>
      </w:r>
      <w:proofErr w:type="spellStart"/>
      <w:r w:rsidRPr="00D60F7A">
        <w:rPr>
          <w:rFonts w:ascii="Kristen ITC" w:hAnsi="Kristen ITC"/>
          <w:b/>
          <w:sz w:val="24"/>
          <w:szCs w:val="24"/>
        </w:rPr>
        <w:t>d.P.R.</w:t>
      </w:r>
      <w:proofErr w:type="spellEnd"/>
      <w:r w:rsidRPr="00D60F7A">
        <w:rPr>
          <w:rFonts w:ascii="Kristen ITC" w:hAnsi="Kristen ITC"/>
          <w:b/>
          <w:sz w:val="24"/>
          <w:szCs w:val="24"/>
        </w:rPr>
        <w:t xml:space="preserve"> n. 396/2000. </w:t>
      </w:r>
      <w:proofErr w:type="gramStart"/>
      <w:r w:rsidRPr="00D60F7A">
        <w:rPr>
          <w:rFonts w:ascii="Kristen ITC" w:hAnsi="Kristen ITC"/>
          <w:b/>
          <w:sz w:val="24"/>
          <w:szCs w:val="24"/>
        </w:rPr>
        <w:t>3  Cfr.</w:t>
      </w:r>
      <w:proofErr w:type="gramEnd"/>
      <w:r w:rsidRPr="00D60F7A">
        <w:rPr>
          <w:rFonts w:ascii="Kristen ITC" w:hAnsi="Kristen ITC"/>
          <w:b/>
          <w:sz w:val="24"/>
          <w:szCs w:val="24"/>
        </w:rPr>
        <w:t xml:space="preserve"> provvedimento del Garante per la protezione dei dati personali del 18/2/2010, in www.gpdp.it, doc. web n. 1705106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lastRenderedPageBreak/>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Autorità Nazionale Anticorruzione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15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roofErr w:type="gramStart"/>
      <w:r w:rsidRPr="00D60F7A">
        <w:rPr>
          <w:rFonts w:ascii="Kristen ITC" w:hAnsi="Kristen ITC"/>
          <w:b/>
          <w:sz w:val="24"/>
          <w:szCs w:val="24"/>
        </w:rPr>
        <w:t>disciplina</w:t>
      </w:r>
      <w:proofErr w:type="gramEnd"/>
      <w:r w:rsidRPr="00D60F7A">
        <w:rPr>
          <w:rFonts w:ascii="Kristen ITC" w:hAnsi="Kristen ITC"/>
          <w:b/>
          <w:sz w:val="24"/>
          <w:szCs w:val="24"/>
        </w:rPr>
        <w:t xml:space="preserve"> dell’accesso generalizzato e con l’evoluzione del principio di trasparenza nel nostro ordinamento, salvaguardando il </w:t>
      </w:r>
      <w:proofErr w:type="spellStart"/>
      <w:r w:rsidRPr="00D60F7A">
        <w:rPr>
          <w:rFonts w:ascii="Kristen ITC" w:hAnsi="Kristen ITC"/>
          <w:b/>
          <w:sz w:val="24"/>
          <w:szCs w:val="24"/>
        </w:rPr>
        <w:t>favor</w:t>
      </w:r>
      <w:proofErr w:type="spellEnd"/>
      <w:r w:rsidRPr="00D60F7A">
        <w:rPr>
          <w:rFonts w:ascii="Kristen ITC" w:hAnsi="Kristen ITC"/>
          <w:b/>
          <w:sz w:val="24"/>
          <w:szCs w:val="24"/>
        </w:rPr>
        <w:t xml:space="preserve"> per la trasparenza stabilito dal legislatore.       Per quanto riguarda le eccezioni all’accesso che operano nei procedimenti tributari, il legislatore rinvia alle specifiche norme che regolano detti procedimenti. Si rammenta, a titolo esemplificativo, quanto previsto dall’art. 68 del </w:t>
      </w:r>
      <w:proofErr w:type="spellStart"/>
      <w:r w:rsidRPr="00D60F7A">
        <w:rPr>
          <w:rFonts w:ascii="Kristen ITC" w:hAnsi="Kristen ITC"/>
          <w:b/>
          <w:sz w:val="24"/>
          <w:szCs w:val="24"/>
        </w:rPr>
        <w:t>d.P.R.</w:t>
      </w:r>
      <w:proofErr w:type="spellEnd"/>
      <w:r w:rsidRPr="00D60F7A">
        <w:rPr>
          <w:rFonts w:ascii="Kristen ITC" w:hAnsi="Kristen ITC"/>
          <w:b/>
          <w:sz w:val="24"/>
          <w:szCs w:val="24"/>
        </w:rPr>
        <w:t xml:space="preserve"> n. 600/1973 in relazione al segreto di ufficio in materia di accertamenti tributari.  Ciò comporta, da una parte che gli atti definitivi sono accessibili anche ai fini dell’accesso generalizzato e che, di conseguenza, l’amministrazione deve, semmai, usare il potere di differimento dell’accesso come previsto al co. 5 dell’art. 5 bis; d’altra parte, l’ostensione di tali atti, data la loro peculiare natura, è opportuno avvenga nei limiti derivanti dall’applicazione della normativa in materia di tutela della riservatezza, eventualmente anche con un accesso parziale ai sensi del co. 4 dell’art. 5 bis. Una volta divenuti accessibili, anche i dati ed documenti dei procedimenti tributari saranno poi soggetti all’applicazione dei limiti di cui all’art. 5 bis, co. 1 e 2.  Analogamente ai procedimenti tributari, per quanto concerne l’attività della pubblica amministrazione diretta all’emanazione di atti normativi, amministrativi generali, di pianificazione e di programmazione per i quali il legislatore tiene ferme le particolari disposizioni che ne regolano la formazione, l’accesso agli atti prodromici è di norma escluso. Si tratta, in realtà, di un’esclusione non assoluta, perché in qualche caso, una volta definito il procedimento con l’adozione dell’atto finale, può essere consentito l’accesso agli atti. Anche in queste ipotesi, l’amministrazione può fare uso del potere di differimento.    Diversamente, invece, l’eccezione opera in modo assoluto nei procedimenti selettivi con riferimento a documenti amministrativi contenenti informazioni di carattere psicoattitudinale relativi a terzi, data la natura di tali informazioni riconducibili all’area dei dati personali cd. “</w:t>
      </w:r>
      <w:proofErr w:type="spellStart"/>
      <w:proofErr w:type="gramStart"/>
      <w:r w:rsidRPr="00D60F7A">
        <w:rPr>
          <w:rFonts w:ascii="Kristen ITC" w:hAnsi="Kristen ITC"/>
          <w:b/>
          <w:sz w:val="24"/>
          <w:szCs w:val="24"/>
        </w:rPr>
        <w:t>supersensibili</w:t>
      </w:r>
      <w:proofErr w:type="spellEnd"/>
      <w:proofErr w:type="gramEnd"/>
      <w:r w:rsidRPr="00D60F7A">
        <w:rPr>
          <w:rFonts w:ascii="Kristen ITC" w:hAnsi="Kristen ITC"/>
          <w:b/>
          <w:sz w:val="24"/>
          <w:szCs w:val="24"/>
        </w:rPr>
        <w:t xml:space="preserve">”.  Si tratta, di atti che possono essere presenti in procedimenti relativi, ad esempio, a concorsi pubblici, trasferimenti di personale, procedure per nomine ad incarichi particolari o per il conferimento di mansioni superiori.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lastRenderedPageBreak/>
        <w:t xml:space="preserve">7. I limiti (esclusioni relative o qualificate) al diritto di accesso generalizzato derivanti dalla tutela di interessi pubblici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La disciplina dell’accesso civico generalizzato prevede la possibilità di rigettare l’istanza qualora il diniego sia necessario per evitare un pregiudizio concreto alla tutela di uno degli interessi pubblici elencati nel nuovo art. 5-bis, comma 1 del d.lgs. n. 33/2013, inerenti a: a) la sicurezza pubblica e l’ordine pubblico; b) la sicurezza nazionale; c) la difesa e le questioni militari; d) le relazioni internazionali; e) la politica e la stabilità finanziaria ed economica dello Stato; f) la conduzione di indagini sui reati e il loro perseguimento; g) il regolare svolgimento di attività ispettive.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Come si è evidenziato nel § 5.2 le esclusioni relative sono caratterizzate dalla necessità di adottare una valutazione caso per caso dell’esistenza del pregiudizio alla tutela di interessi pubblici o privati considerati meritevoli di una peculiare tutela dall’ordinamento. Di seguito sono fornite alcune prime indicazioni utili a dare supporto alle amministrazioni nella identificazione degli interessi pubblici considerati dall’art. 5 bis co. 1. In via generale, e questo vale anche quando si tratterà degli interessi privati, ogni definizione di tali interessi implica il rinvio a concetti per loro natura dinamici anche in relazione alle posizioni della giurisprudenza nazionale e dell’Unione Europea. Si consideri, peraltro, che le materie individuate dalla legge, in gran parte mutuate da quelle indicate nel Regolamento 1049/2011 CE, sono spesso parzialmente sovrapponibili; inoltre alcuni interessi considerati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Autorità Nazionale Anticorruzione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16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roofErr w:type="gramStart"/>
      <w:r w:rsidRPr="00D60F7A">
        <w:rPr>
          <w:rFonts w:ascii="Kristen ITC" w:hAnsi="Kristen ITC"/>
          <w:b/>
          <w:sz w:val="24"/>
          <w:szCs w:val="24"/>
        </w:rPr>
        <w:lastRenderedPageBreak/>
        <w:t>sono</w:t>
      </w:r>
      <w:proofErr w:type="gramEnd"/>
      <w:r w:rsidRPr="00D60F7A">
        <w:rPr>
          <w:rFonts w:ascii="Kristen ITC" w:hAnsi="Kristen ITC"/>
          <w:b/>
          <w:sz w:val="24"/>
          <w:szCs w:val="24"/>
        </w:rPr>
        <w:t xml:space="preserve"> assolutamente contigui con altri disciplinati da norme di settore che, ad esempio, prevedono l’apposizione del segreto (ricadendo così nelle esclusioni assolute). Le esemplificazioni relative al contenuto degli interessi di cui ai punti successivi, pertanto, sono avanzate al fine di consentire alle amministrazioni di meglio circoscrivere tali materie, non una interpretazione ingiustificatamente estensiva.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7.1.  Sicurezza pubblica e ordine pubblico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La sicurezza pubblica è funzione inerente alla prevenzione dei reati e al mantenimento dell’ordine pubblico </w:t>
      </w:r>
      <w:proofErr w:type="gramStart"/>
      <w:r w:rsidRPr="00D60F7A">
        <w:rPr>
          <w:rFonts w:ascii="Kristen ITC" w:hAnsi="Kristen ITC"/>
          <w:b/>
          <w:sz w:val="24"/>
          <w:szCs w:val="24"/>
        </w:rPr>
        <w:t>e  comprende</w:t>
      </w:r>
      <w:proofErr w:type="gramEnd"/>
      <w:r w:rsidRPr="00D60F7A">
        <w:rPr>
          <w:rFonts w:ascii="Kristen ITC" w:hAnsi="Kristen ITC"/>
          <w:b/>
          <w:sz w:val="24"/>
          <w:szCs w:val="24"/>
        </w:rPr>
        <w:t xml:space="preserve"> la tutela dell'interesse generale alla incolumità delle persone, e quindi la salvaguardia di un bene che abbisogna di una regolamentazione uniforme su tutto il territorio nazionale (Corte </w:t>
      </w:r>
      <w:proofErr w:type="spellStart"/>
      <w:r w:rsidRPr="00D60F7A">
        <w:rPr>
          <w:rFonts w:ascii="Kristen ITC" w:hAnsi="Kristen ITC"/>
          <w:b/>
          <w:sz w:val="24"/>
          <w:szCs w:val="24"/>
        </w:rPr>
        <w:t>Cost</w:t>
      </w:r>
      <w:proofErr w:type="spellEnd"/>
      <w:r w:rsidRPr="00D60F7A">
        <w:rPr>
          <w:rFonts w:ascii="Kristen ITC" w:hAnsi="Kristen ITC"/>
          <w:b/>
          <w:sz w:val="24"/>
          <w:szCs w:val="24"/>
        </w:rPr>
        <w:t xml:space="preserve">. 21/2010). Essa concerne la tutela di quei beni giuridici fondamentali e degli interessi pubblici primari sui quali si fonda la ordinata e civile convivenza degli appartenenti alla comunità nazionale e ricomprende l’insieme di tutte le misure preventive e repressive finalizzate alla salvaguardia delle istituzioni, delle libertà costituzionali e dell’incolumità dei cittadini. Il nucleo della funzione inerente alla pubblica sicurezza ha dunque ad oggetto le attività volte ad assicurare l’incolumità, con riferimento alla integrità fisica e psichica, delle persone, la sicurezza dei possessi e il rispetto di ogni altro bene giuridico di fondamentale importanza per l’esistenza e lo svolgimento dell’ordinamento.  La nozione, elaborata soprattutto dalla giurisprudenza della Corte costituzionale (C. </w:t>
      </w:r>
      <w:proofErr w:type="spellStart"/>
      <w:r w:rsidRPr="00D60F7A">
        <w:rPr>
          <w:rFonts w:ascii="Kristen ITC" w:hAnsi="Kristen ITC"/>
          <w:b/>
          <w:sz w:val="24"/>
          <w:szCs w:val="24"/>
        </w:rPr>
        <w:t>Cost</w:t>
      </w:r>
      <w:proofErr w:type="spellEnd"/>
      <w:r w:rsidRPr="00D60F7A">
        <w:rPr>
          <w:rFonts w:ascii="Kristen ITC" w:hAnsi="Kristen ITC"/>
          <w:b/>
          <w:sz w:val="24"/>
          <w:szCs w:val="24"/>
        </w:rPr>
        <w:t>. n. 77/1987; n. 218/1988; n. 115/1995; 169/</w:t>
      </w:r>
      <w:proofErr w:type="gramStart"/>
      <w:r w:rsidRPr="00D60F7A">
        <w:rPr>
          <w:rFonts w:ascii="Kristen ITC" w:hAnsi="Kristen ITC"/>
          <w:b/>
          <w:sz w:val="24"/>
          <w:szCs w:val="24"/>
        </w:rPr>
        <w:t>2006 )</w:t>
      </w:r>
      <w:proofErr w:type="gramEnd"/>
      <w:r w:rsidRPr="00D60F7A">
        <w:rPr>
          <w:rFonts w:ascii="Kristen ITC" w:hAnsi="Kristen ITC"/>
          <w:b/>
          <w:sz w:val="24"/>
          <w:szCs w:val="24"/>
        </w:rPr>
        <w:t>, sulla base delle attribuzioni conferite all’autorità di pubblica sicurezza dal T.U. delle leggi di Pubblica Sicurezza (</w:t>
      </w:r>
      <w:proofErr w:type="spellStart"/>
      <w:r w:rsidRPr="00D60F7A">
        <w:rPr>
          <w:rFonts w:ascii="Kristen ITC" w:hAnsi="Kristen ITC"/>
          <w:b/>
          <w:sz w:val="24"/>
          <w:szCs w:val="24"/>
        </w:rPr>
        <w:t>r.d.</w:t>
      </w:r>
      <w:proofErr w:type="spellEnd"/>
      <w:r w:rsidRPr="00D60F7A">
        <w:rPr>
          <w:rFonts w:ascii="Kristen ITC" w:hAnsi="Kristen ITC"/>
          <w:b/>
          <w:sz w:val="24"/>
          <w:szCs w:val="24"/>
        </w:rPr>
        <w:t xml:space="preserve"> n. 773/1931, art. 1), ha trovato una conferma nel diritto positivo nell’art. 159, co. 2, del decreto legislativo 31 marzo 1998, n.112 secondo cui: “le funzioni ed i compiti amministrativi relativi all’ordine pubblico e sicurezza pubblica di cui all’articolo 1, comma 3, lettera l) della legge 15 marzo 1997, n. 59, concernono le misure preventive e repressive dirette al mantenimento dell’ordine pubblico, inteso come il complesso dei beni giuridici fondamentali e degli interessi pubblici primari sui quali si regge l’ordinata e civile convivenza nella comunità nazionale, nonché alla sicurezza delle istituzioni, dei cittadini e dei loro beni”(C. </w:t>
      </w:r>
      <w:proofErr w:type="spellStart"/>
      <w:r w:rsidRPr="00D60F7A">
        <w:rPr>
          <w:rFonts w:ascii="Kristen ITC" w:hAnsi="Kristen ITC"/>
          <w:b/>
          <w:sz w:val="24"/>
          <w:szCs w:val="24"/>
        </w:rPr>
        <w:t>Cost</w:t>
      </w:r>
      <w:proofErr w:type="spellEnd"/>
      <w:r w:rsidRPr="00D60F7A">
        <w:rPr>
          <w:rFonts w:ascii="Kristen ITC" w:hAnsi="Kristen ITC"/>
          <w:b/>
          <w:sz w:val="24"/>
          <w:szCs w:val="24"/>
        </w:rPr>
        <w:t xml:space="preserve">. n. 290/2001).  L’esercizio delle funzioni di pubblica sicurezza e di tutela dell’ordine pubblico coinvolgono non solo l’apparato statale e i suoi organi periferici quali Autorità di Pubblica Sicurezza ma anche gli enti territoriali attraverso le autorità locali di pubblica sicurezza e di governo (art. 54 del TUEL).  I concetti di ordine e sicurezza pubblica e gli interessi ad essi sottesi </w:t>
      </w:r>
      <w:r w:rsidRPr="00D60F7A">
        <w:rPr>
          <w:rFonts w:ascii="Kristen ITC" w:hAnsi="Kristen ITC"/>
          <w:b/>
          <w:sz w:val="24"/>
          <w:szCs w:val="24"/>
        </w:rPr>
        <w:lastRenderedPageBreak/>
        <w:t xml:space="preserve">sono riconducibili ad altri concetti individuati dal legislatore. Ad esempio, l’interesse pubblico inerente alla sicurezza pubblica e all’ordine pubblico viene in rilievo anche nell’adozione di misure preventive e repressive da parte degli enti locali riconducibili all’ambito della sicurezza urbana (quali, ad esempio, quelle previste all’art. 54, co. 4, del d. </w:t>
      </w:r>
      <w:proofErr w:type="spellStart"/>
      <w:r w:rsidRPr="00D60F7A">
        <w:rPr>
          <w:rFonts w:ascii="Kristen ITC" w:hAnsi="Kristen ITC"/>
          <w:b/>
          <w:sz w:val="24"/>
          <w:szCs w:val="24"/>
        </w:rPr>
        <w:t>lgs</w:t>
      </w:r>
      <w:proofErr w:type="spellEnd"/>
      <w:r w:rsidRPr="00D60F7A">
        <w:rPr>
          <w:rFonts w:ascii="Kristen ITC" w:hAnsi="Kristen ITC"/>
          <w:b/>
          <w:sz w:val="24"/>
          <w:szCs w:val="24"/>
        </w:rPr>
        <w:t xml:space="preserve">. 267/2000, recante il testo unico delle leggi sull’ordinamento degli enti locali; cfr. C. </w:t>
      </w:r>
      <w:proofErr w:type="spellStart"/>
      <w:r w:rsidRPr="00D60F7A">
        <w:rPr>
          <w:rFonts w:ascii="Kristen ITC" w:hAnsi="Kristen ITC"/>
          <w:b/>
          <w:sz w:val="24"/>
          <w:szCs w:val="24"/>
        </w:rPr>
        <w:t>Cost</w:t>
      </w:r>
      <w:proofErr w:type="spellEnd"/>
      <w:r w:rsidRPr="00D60F7A">
        <w:rPr>
          <w:rFonts w:ascii="Kristen ITC" w:hAnsi="Kristen ITC"/>
          <w:b/>
          <w:sz w:val="24"/>
          <w:szCs w:val="24"/>
        </w:rPr>
        <w:t xml:space="preserve">. n. 115/2011). Da tale concetto va escluso quanto attiene, invece, alle attività volte a mitigare il disagio sociale (corte </w:t>
      </w:r>
      <w:proofErr w:type="spellStart"/>
      <w:r w:rsidRPr="00D60F7A">
        <w:rPr>
          <w:rFonts w:ascii="Kristen ITC" w:hAnsi="Kristen ITC"/>
          <w:b/>
          <w:sz w:val="24"/>
          <w:szCs w:val="24"/>
        </w:rPr>
        <w:t>Cost</w:t>
      </w:r>
      <w:proofErr w:type="spellEnd"/>
      <w:r w:rsidRPr="00D60F7A">
        <w:rPr>
          <w:rFonts w:ascii="Kristen ITC" w:hAnsi="Kristen ITC"/>
          <w:b/>
          <w:sz w:val="24"/>
          <w:szCs w:val="24"/>
        </w:rPr>
        <w:t xml:space="preserve"> n. 222/2010). Diversa dalla sicurezza e dell’ordine pubblico, è, invece, l’attività di polizia amministrativa.  Non tutte le attività di polizia amministrativa, infatti, sono relative alla sicurezza e all’ordine pubblico. L’attività di contrasto al crimine e di tutela della sicurezza pubblica, pertanto, non possono essere divulgate per evitare che venga vanificata l’azione delle forze di polizia.  Il pregiudizio concreto alla tutela degli interessi inerenti alla sicurezza pubblica e all’ordine pubblico, può derivare, a titolo esemplificativo,  dalla conoscibilità di documenti, dati o informazioni attinenti le strutture, i mezzi, le dotazioni, il personale e le azioni strettamente strumentali alla tutela dell’ordine pubblico, alla prevenzione e alla repressione della criminalità con particolare riguardo alle tecniche investigative, all’identità delle fonti di informazione e alla sicurezza dei beni, delle persone coinvolte, all’attività di polizia giudiziaria e di conduzione delle indagini. Un limite all’accesso </w:t>
      </w:r>
      <w:proofErr w:type="gramStart"/>
      <w:r w:rsidRPr="00D60F7A">
        <w:rPr>
          <w:rFonts w:ascii="Kristen ITC" w:hAnsi="Kristen ITC"/>
          <w:b/>
          <w:sz w:val="24"/>
          <w:szCs w:val="24"/>
        </w:rPr>
        <w:t>potrebbe  configurarsi</w:t>
      </w:r>
      <w:proofErr w:type="gramEnd"/>
      <w:r w:rsidRPr="00D60F7A">
        <w:rPr>
          <w:rFonts w:ascii="Kristen ITC" w:hAnsi="Kristen ITC"/>
          <w:b/>
          <w:sz w:val="24"/>
          <w:szCs w:val="24"/>
        </w:rPr>
        <w:t xml:space="preserve">, inoltre, nel caso in cui le informazioni richieste riguardino l’organizzazione e il funzionamento dei servizi di polizia e del personale delle forze armate messe a disposizione dell’autorità di pubblica sicurezza, la detenzione e custodia di armi ed esplosivi. Sempre a titolo di esempio, nel caso di istanze di accesso alla documentazione relativa alla descrizione progettuale e funzionale di impianti industriali a rischio, è meritevole di apprezzamento la necessità di evitare atti di sabotaggio.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Autorità Nazionale Anticorruzione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17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lastRenderedPageBreak/>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7.2. Sicurezza nazionale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La Sicurezza nazionale è un bene costituzionale che gode di tutela prioritaria e costituisce interesse essenziale, insopprimibile della collettività, con palese carattere di assoluta preminenza su ogni altro in quanto tocca la esistenza stessa dello Stato. La Corte Costituzionale con orientamento consolidato ha definito la Sicurezza nazionale quale “interesse dello Stato-comunità alla propria integrità territoriale, alla propria indipendenza e, al limite, alla stessa sua sopravvivenza” (C. </w:t>
      </w:r>
      <w:proofErr w:type="spellStart"/>
      <w:r w:rsidRPr="00D60F7A">
        <w:rPr>
          <w:rFonts w:ascii="Kristen ITC" w:hAnsi="Kristen ITC"/>
          <w:b/>
          <w:sz w:val="24"/>
          <w:szCs w:val="24"/>
        </w:rPr>
        <w:t>Cost</w:t>
      </w:r>
      <w:proofErr w:type="spellEnd"/>
      <w:r w:rsidRPr="00D60F7A">
        <w:rPr>
          <w:rFonts w:ascii="Kristen ITC" w:hAnsi="Kristen ITC"/>
          <w:b/>
          <w:sz w:val="24"/>
          <w:szCs w:val="24"/>
        </w:rPr>
        <w:t xml:space="preserve">. </w:t>
      </w:r>
      <w:proofErr w:type="spellStart"/>
      <w:proofErr w:type="gramStart"/>
      <w:r w:rsidRPr="00D60F7A">
        <w:rPr>
          <w:rFonts w:ascii="Kristen ITC" w:hAnsi="Kristen ITC"/>
          <w:b/>
          <w:sz w:val="24"/>
          <w:szCs w:val="24"/>
        </w:rPr>
        <w:t>sent</w:t>
      </w:r>
      <w:proofErr w:type="spellEnd"/>
      <w:proofErr w:type="gramEnd"/>
      <w:r w:rsidRPr="00D60F7A">
        <w:rPr>
          <w:rFonts w:ascii="Kristen ITC" w:hAnsi="Kristen ITC"/>
          <w:b/>
          <w:sz w:val="24"/>
          <w:szCs w:val="24"/>
        </w:rPr>
        <w:t xml:space="preserve">. n. 86/1977, n. 82/1976, n. 110/1998, n. 106/2009, n. 40/2012, n. 24/2014).  Ci si è anche riferiti alla “sicurezza esterna ed interna dello Stato e della necessità di protezione da ogni azione violenta o comunque non conforme allo spirito democratico che ispira il nostro assetto costituzionale dei supremi interessi che valgono per qualsiasi collettività organizzata a Stato e possono coinvolgere la esistenza stessa dello Stato” (C. </w:t>
      </w:r>
      <w:proofErr w:type="spellStart"/>
      <w:r w:rsidRPr="00D60F7A">
        <w:rPr>
          <w:rFonts w:ascii="Kristen ITC" w:hAnsi="Kristen ITC"/>
          <w:b/>
          <w:sz w:val="24"/>
          <w:szCs w:val="24"/>
        </w:rPr>
        <w:t>Cost</w:t>
      </w:r>
      <w:proofErr w:type="spellEnd"/>
      <w:r w:rsidRPr="00D60F7A">
        <w:rPr>
          <w:rFonts w:ascii="Kristen ITC" w:hAnsi="Kristen ITC"/>
          <w:b/>
          <w:sz w:val="24"/>
          <w:szCs w:val="24"/>
        </w:rPr>
        <w:t xml:space="preserve">. </w:t>
      </w:r>
      <w:proofErr w:type="spellStart"/>
      <w:proofErr w:type="gramStart"/>
      <w:r w:rsidRPr="00D60F7A">
        <w:rPr>
          <w:rFonts w:ascii="Kristen ITC" w:hAnsi="Kristen ITC"/>
          <w:b/>
          <w:sz w:val="24"/>
          <w:szCs w:val="24"/>
        </w:rPr>
        <w:t>sent</w:t>
      </w:r>
      <w:proofErr w:type="spellEnd"/>
      <w:proofErr w:type="gramEnd"/>
      <w:r w:rsidRPr="00D60F7A">
        <w:rPr>
          <w:rFonts w:ascii="Kristen ITC" w:hAnsi="Kristen ITC"/>
          <w:b/>
          <w:sz w:val="24"/>
          <w:szCs w:val="24"/>
        </w:rPr>
        <w:t xml:space="preserve">. n. 86 del 24 maggio 1977)  Il concetto di sicurezza esterna ed interna dello Stato si può desumere a livello normativo dagli articoli 6 e 7 della legge 3 agosto 2007, n. 124, istitutiva del Sistema di informazione per la sicurezza della Repubblica, che nel declinare i compiti delle Agenzie di informazioni e sicurezza definisce la sicurezza esterna “la difesa dell’indipendenza, dell’integrità e della sicurezza della Repubblica – anche in attuazione di accordi internazionali - dalle minacce provenienti dall’estero” e richiama la difesa della “sicurezza interna della Repubblica e le istituzioni democratiche poste dalla Costituzione a suo fondamento da ogni minaccia, da ogni attività eversiva e da ogni forma di aggressione criminale o terroristica”.  La nozione di sicurezza nazionale evoca, in ogni caso, un concetto dinamico e risulta legata “tanto al grado di maturità del paese cui si riferisce quanto al contesto storico: ne costituisce esempio la rilevanza strategica assunta dai concetti di sicurezza economico-finanziaria e di sicurezza ambientale”. </w:t>
      </w:r>
      <w:proofErr w:type="gramStart"/>
      <w:r w:rsidRPr="00D60F7A">
        <w:rPr>
          <w:rFonts w:ascii="Kristen ITC" w:hAnsi="Kristen ITC"/>
          <w:b/>
          <w:sz w:val="24"/>
          <w:szCs w:val="24"/>
        </w:rPr>
        <w:t>( “</w:t>
      </w:r>
      <w:proofErr w:type="gramEnd"/>
      <w:r w:rsidRPr="00D60F7A">
        <w:rPr>
          <w:rFonts w:ascii="Kristen ITC" w:hAnsi="Kristen ITC"/>
          <w:b/>
          <w:sz w:val="24"/>
          <w:szCs w:val="24"/>
        </w:rPr>
        <w:t xml:space="preserve">Glossario Intelligence 2013”). Ai fini dell’accesso generalizzato, l’identificazione degli interessi connessi alla sicurezza nazionale è frequentemente collegata con la difesa del segreto di Stato ma riguarda la possibilità di accesso ad atti, dati e documenti che non compromettono il Segreto di Stato in quanto tale.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7.3. Difesa e questioni militari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Il concetto di “difesa” trova fondamento nella individuazione di un interesse </w:t>
      </w:r>
      <w:r w:rsidRPr="00D60F7A">
        <w:rPr>
          <w:rFonts w:ascii="Kristen ITC" w:hAnsi="Kristen ITC"/>
          <w:b/>
          <w:sz w:val="24"/>
          <w:szCs w:val="24"/>
        </w:rPr>
        <w:lastRenderedPageBreak/>
        <w:t xml:space="preserve">costituzionale superiore espressamente riconosciuto all’art. 52, co.1, della Costituzione e declinato con riferimento alla difesa della Patria. La Corte costituzionale ha rilevato che il dovere di difesa, nella sua ampia accezione, contempla in primo luogo il dovere militare, organizzato nelle Forze armate. In merito la Corte costituzionale ha ritenuto che sia “esclusivo” interesse dello Stato, con carattere unitario ed indivisibile, la difesa della integrità territoriale, della indipendenza e della sopravvivenza. L’impianto normativo riconosce alla funzione difesa quella specificità insita nella natura delle Forze armate, codificata a livello ordinamentale dal decreto legislativo n. 66 del 2010 e del relativo T.U. regolamentare (d.PR 90 del 2010) riguardanti l’organizzazione, le funzioni, le attività della Difesa. La difesa del territorio nazionale è oggetto di accordi di cooperazione e di trattati con la conseguente responsabilità dello Stato anche in sede internazionale. Così è oggetto di accordi internazionali tra Stati la installazione di opere difensive, di basi militari terrestri, marittime e aeronautiche che tiene conto di situazioni complessive che spesso esigono anche il segreto militare. Si tratta di attività che implicano decisioni esclusivamente statali quali la individuazione dei mezzi di difesa, delle linee generali di conservazione, di sviluppo e di capacità difensiva delle Forze Armate e tutto quanto ciò che, nei piani strategici, è diretto a garantire la sicurezza interna ed esterna dello Stato. La natura delle attività e dell’organizzazione del sistema difesa implica particolare attenzione ai fini dell’accesso circa alcune attività relative sia all’area tecnico operativa, connesse con la pianificazione, l’impiego e l’addestramento delle Forze armate, sia all’area tecnico industriale, strettamente correlata al funzionamento della precedente area.  Si ricorda, in ogni caso, che una parte dell’attività relativa alla difesa e alle questioni militari è sottoposta, come anticipato </w:t>
      </w:r>
      <w:proofErr w:type="gramStart"/>
      <w:r w:rsidRPr="00D60F7A">
        <w:rPr>
          <w:rFonts w:ascii="Kristen ITC" w:hAnsi="Kristen ITC"/>
          <w:b/>
          <w:sz w:val="24"/>
          <w:szCs w:val="24"/>
        </w:rPr>
        <w:t>nel  §</w:t>
      </w:r>
      <w:proofErr w:type="gramEnd"/>
      <w:r w:rsidRPr="00D60F7A">
        <w:rPr>
          <w:rFonts w:ascii="Kristen ITC" w:hAnsi="Kristen ITC"/>
          <w:b/>
          <w:sz w:val="24"/>
          <w:szCs w:val="24"/>
        </w:rPr>
        <w:t xml:space="preserve"> 6.2.1 , a vincoli di particolare riservatezza o segretezza.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Autorità Nazionale Anticorruzione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18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lastRenderedPageBreak/>
        <w:t xml:space="preserve">7.4. Relazioni internazionali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Per “relazioni internazionali” si intendono i rapporti intercorrenti tra Stati sovrani e, per estensione, ai rapporti tra i vari soggetti internazionali. In tal senso </w:t>
      </w:r>
      <w:proofErr w:type="gramStart"/>
      <w:r w:rsidRPr="00D60F7A">
        <w:rPr>
          <w:rFonts w:ascii="Kristen ITC" w:hAnsi="Kristen ITC"/>
          <w:b/>
          <w:sz w:val="24"/>
          <w:szCs w:val="24"/>
        </w:rPr>
        <w:t>per  Relazioni</w:t>
      </w:r>
      <w:proofErr w:type="gramEnd"/>
      <w:r w:rsidRPr="00D60F7A">
        <w:rPr>
          <w:rFonts w:ascii="Kristen ITC" w:hAnsi="Kristen ITC"/>
          <w:b/>
          <w:sz w:val="24"/>
          <w:szCs w:val="24"/>
        </w:rPr>
        <w:t xml:space="preserve"> internazionali non si intende solo la  politica estera di uno Stato, ma il “sistema internazionale”, nel quale operano vari attori a diversi livelli. Con l’espressione “politica estera” ci si riferisce, infatti, specificamente all’insieme dei programmi d’azione e dei comportamenti di un determinato attore internazionale nei confronti degli altri. Secondo la giurisprudenza della Corte Costituzionale (cfr. sentenze n. 211/2006 e n. 131/2008</w:t>
      </w:r>
      <w:proofErr w:type="gramStart"/>
      <w:r w:rsidRPr="00D60F7A">
        <w:rPr>
          <w:rFonts w:ascii="Kristen ITC" w:hAnsi="Kristen ITC"/>
          <w:b/>
          <w:sz w:val="24"/>
          <w:szCs w:val="24"/>
        </w:rPr>
        <w:t>),  mentre</w:t>
      </w:r>
      <w:proofErr w:type="gramEnd"/>
      <w:r w:rsidRPr="00D60F7A">
        <w:rPr>
          <w:rFonts w:ascii="Kristen ITC" w:hAnsi="Kristen ITC"/>
          <w:b/>
          <w:sz w:val="24"/>
          <w:szCs w:val="24"/>
        </w:rPr>
        <w:t xml:space="preserve"> i “rapporti internazionali” , sono astrattamente riferibili a singole relazioni, dotate di elementi di estraneità rispetto al nostro ordinamento, la “politica estera” concerne l'attività internazionale dello Stato unitariamente considerata in rapporto alle sue finalità ed al suo indirizzo. A titolo esemplificativo si riportano alcuni atti relativi all’ambito delle relazioni internazionali meritevoli di attenzione ai fini dell’accesso generalizzato: - i documenti concernenti le procedure relative alla negoziazione ed alla stipula di accordi ed atti internazionali con altri Stati, ove vi sia la necessità non solo di tutelare la necessaria riservatezza degli atti inerenti i negoziati, ma anche per salvaguardare l’integrità degli stessi rapporti diplomatici con i Paesi interessati, che potrebbero essere pregiudicati se tali atti fossero resi accessibili; ciò sempre che gli stessi documenti od atti non siano stati pubblicati nel corso di conferenze internazionali;  - i lavori preparatori e la documentazione predisposta in vista di incontri bilaterali e multilaterali; -  i documenti di posizione interni ai negoziati UE, laddove siano suscettibili di compromettere la posizione italiana nei negoziati in corso, a meno che non vi sia un interesse prevalente alla divulgazione; - le comunicazioni, i rapporti ed i documenti provenienti dalle rappresentanze ed uffici consolari all’estero sulla situazione politica ed economica dei Paesi di accreditamento, nonché comunicazioni, rapporti e documenti provenienti dalle rappresentanze o delegazioni presso organizzazioni internazionali e fori multilaterali riguardanti l’attività di detti organismi; - i carteggi scambiati dall’amministrazione con i rappresentanti degli Stati esteri in Italia ed esponenti dei Governi e delle amministrazioni degli Stati esteri. Al fine dell’identificazione dell’interesse alla tutela delle relazioni internazionali possono rilevare anche:  - la tutela della sicurezza delle Rappresentanze diplomatico-consolari e delle OO.II, della sicurezza delle Alte Personalità in visita, il libero espletamento della sovranità degli altri Stati ma anche della sovranità nazionale come disciplinati nelle norme di diritto internazionale e da norme interne, quali ad esempio: </w:t>
      </w:r>
      <w:r w:rsidRPr="00D60F7A">
        <w:rPr>
          <w:rFonts w:ascii="Kristen ITC" w:hAnsi="Kristen ITC"/>
          <w:b/>
          <w:sz w:val="24"/>
          <w:szCs w:val="24"/>
        </w:rPr>
        <w:t xml:space="preserve"> Convenzione di Vienna del 1961 sulle relazioni diplomatiche (in particolare gli artt. 22-37) e relativa </w:t>
      </w:r>
      <w:r w:rsidRPr="00D60F7A">
        <w:rPr>
          <w:rFonts w:ascii="Kristen ITC" w:hAnsi="Kristen ITC"/>
          <w:b/>
          <w:sz w:val="24"/>
          <w:szCs w:val="24"/>
        </w:rPr>
        <w:lastRenderedPageBreak/>
        <w:t xml:space="preserve">legge nazionale di ratifica; </w:t>
      </w:r>
      <w:r w:rsidRPr="00D60F7A">
        <w:rPr>
          <w:rFonts w:ascii="Kristen ITC" w:hAnsi="Kristen ITC"/>
          <w:b/>
          <w:sz w:val="24"/>
          <w:szCs w:val="24"/>
        </w:rPr>
        <w:t xml:space="preserve"> Convenzione di Vienna del 1963 sulle relazioni consolari (in particolare gli artt. 31-41 e 49-50) e relativa legge nazionale di ratifica; </w:t>
      </w:r>
      <w:r w:rsidRPr="00D60F7A">
        <w:rPr>
          <w:rFonts w:ascii="Kristen ITC" w:hAnsi="Kristen ITC"/>
          <w:b/>
          <w:sz w:val="24"/>
          <w:szCs w:val="24"/>
        </w:rPr>
        <w:t xml:space="preserve"> Accordi di Sede con le Organizzazioni Internazionali che hanno sede in Italia - con particolare riguardo alle norme sulla sicurezza e inviolabilità della Sede, delle comunicazioni, dei vertici delle organizzazioni e dei loro funzionari nonché ai privilegi e immunità - e relative leggi nazionali di ratifica.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7.5. Politica e stabilità finanziaria ed economica dello Stato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La definizione del concetto di politica e stabilità finanziaria evoca quanto già previsto dall’art. 24 comma 6 </w:t>
      </w:r>
      <w:proofErr w:type="spellStart"/>
      <w:r w:rsidRPr="00D60F7A">
        <w:rPr>
          <w:rFonts w:ascii="Kristen ITC" w:hAnsi="Kristen ITC"/>
          <w:b/>
          <w:sz w:val="24"/>
          <w:szCs w:val="24"/>
        </w:rPr>
        <w:t>lett</w:t>
      </w:r>
      <w:proofErr w:type="spellEnd"/>
      <w:r w:rsidRPr="00D60F7A">
        <w:rPr>
          <w:rFonts w:ascii="Kristen ITC" w:hAnsi="Kristen ITC"/>
          <w:b/>
          <w:sz w:val="24"/>
          <w:szCs w:val="24"/>
        </w:rPr>
        <w:t>. b) legge 241/</w:t>
      </w:r>
      <w:proofErr w:type="gramStart"/>
      <w:r w:rsidRPr="00D60F7A">
        <w:rPr>
          <w:rFonts w:ascii="Kristen ITC" w:hAnsi="Kristen ITC"/>
          <w:b/>
          <w:sz w:val="24"/>
          <w:szCs w:val="24"/>
        </w:rPr>
        <w:t>1990  relativamente</w:t>
      </w:r>
      <w:proofErr w:type="gramEnd"/>
      <w:r w:rsidRPr="00D60F7A">
        <w:rPr>
          <w:rFonts w:ascii="Kristen ITC" w:hAnsi="Kristen ITC"/>
          <w:b/>
          <w:sz w:val="24"/>
          <w:szCs w:val="24"/>
        </w:rPr>
        <w:t xml:space="preserve"> ai “processi di formazione, di determinazione e di attuazione della politica monetaria e valutaria”.  Il concetto è contiguo anche a quello delineato dall’ art. 4 comma 1 </w:t>
      </w:r>
      <w:proofErr w:type="spellStart"/>
      <w:r w:rsidRPr="00D60F7A">
        <w:rPr>
          <w:rFonts w:ascii="Kristen ITC" w:hAnsi="Kristen ITC"/>
          <w:b/>
          <w:sz w:val="24"/>
          <w:szCs w:val="24"/>
        </w:rPr>
        <w:t>lett</w:t>
      </w:r>
      <w:proofErr w:type="spellEnd"/>
      <w:r w:rsidRPr="00D60F7A">
        <w:rPr>
          <w:rFonts w:ascii="Kristen ITC" w:hAnsi="Kristen ITC"/>
          <w:b/>
          <w:sz w:val="24"/>
          <w:szCs w:val="24"/>
        </w:rPr>
        <w:t xml:space="preserve">. a) del Regolamento Ce 1049/2001 relativamente alla tutela della “politica finanziaria, monetaria o economica della Comunità o di uno Stato membro”. Si ritiene quindi che meritino particolare attenzione ai fini dell’accesso generalizzato gli atti relativi ai processi di formazione e determinazione della politica monetaria e valutaria la cui pubblicazione possa comportare turbative sui mercati valutari e dei capitali nonché gli atti relativi al fabbisogno del bilancio dello Stato, alla politica fiscale ed all’emissione dei titoli di debito pubblico, materie interconnesse con la politica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Autorità Nazionale Anticorruzione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19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roofErr w:type="gramStart"/>
      <w:r w:rsidRPr="00D60F7A">
        <w:rPr>
          <w:rFonts w:ascii="Kristen ITC" w:hAnsi="Kristen ITC"/>
          <w:b/>
          <w:sz w:val="24"/>
          <w:szCs w:val="24"/>
        </w:rPr>
        <w:t>finanziaria</w:t>
      </w:r>
      <w:proofErr w:type="gramEnd"/>
      <w:r w:rsidRPr="00D60F7A">
        <w:rPr>
          <w:rFonts w:ascii="Kristen ITC" w:hAnsi="Kristen ITC"/>
          <w:b/>
          <w:sz w:val="24"/>
          <w:szCs w:val="24"/>
        </w:rPr>
        <w:t xml:space="preserve"> ed economica dello Stato. L’eventuale esigenza di riservatezza, in tali casi, è connessa alla necessità di evitare che la conoscenza di taluni documenti possa creare situazioni di vantaggio a favore di alcuni o causare turbamenti dei mercati finanziari; a tale proposito si ricorda che la manipolazione dei mercati, anche finanziari, è condotta illecita disciplinata dal codice penale (art. 501 reato di aggiotaggio) e dal codice civile (art. 2637). Il nucleo degli interessi sottesi a tale </w:t>
      </w:r>
      <w:r w:rsidRPr="00D60F7A">
        <w:rPr>
          <w:rFonts w:ascii="Kristen ITC" w:hAnsi="Kristen ITC"/>
          <w:b/>
          <w:sz w:val="24"/>
          <w:szCs w:val="24"/>
        </w:rPr>
        <w:lastRenderedPageBreak/>
        <w:t xml:space="preserve">limitazione all’accesso assurge a carattere costituzionale e sovranazionale: infatti gli equilibri di finanza pubblica della Repubblica, in tutte le sue componenti ai sensi dell’art. 114 della Costituzione, sono tutelati dagli artt. 81, 97, 117 commi 2 e 3 e 119 Costituzione, ove, peraltro, sono espressamente indicati le regioni e gli enti territoriali; contestualmente alla crescita dell’Europa quale entità volta anche all’armonizzazione ed al coordinamento delle politiche finanziarie, il concetto di equilibrio di finanza pubblica si è evoluto, con la codificazione in sede di Trattato, del concetto di stabilità economica- finanziaria, rispetto al quale lo Stato ha poteri di disciplina generale e di coordinamento.  Nel concetto di politica economica rientrano le scelte di bilancio, gli atti relativi al fabbisogno del bilancio dello Stato, alla politica fiscale ed all’emissione dei titoli di debito pubblico. Nel concetto di stabilità finanziaria rientra la gestione delle finanze pubbliche, la sostenibilità del debito pubblico, la capitalizzazione delle istituzioni finanziarie; andrà prestata particolare attenzione quindi, a tutte le informazioni (precipuamente in possesso di Banca d’Italia, </w:t>
      </w:r>
      <w:proofErr w:type="spellStart"/>
      <w:r w:rsidRPr="00D60F7A">
        <w:rPr>
          <w:rFonts w:ascii="Kristen ITC" w:hAnsi="Kristen ITC"/>
          <w:b/>
          <w:sz w:val="24"/>
          <w:szCs w:val="24"/>
        </w:rPr>
        <w:t>Mef</w:t>
      </w:r>
      <w:proofErr w:type="spellEnd"/>
      <w:r w:rsidRPr="00D60F7A">
        <w:rPr>
          <w:rFonts w:ascii="Kristen ITC" w:hAnsi="Kristen ITC"/>
          <w:b/>
          <w:sz w:val="24"/>
          <w:szCs w:val="24"/>
        </w:rPr>
        <w:t xml:space="preserve">, </w:t>
      </w:r>
      <w:proofErr w:type="spellStart"/>
      <w:r w:rsidRPr="00D60F7A">
        <w:rPr>
          <w:rFonts w:ascii="Kristen ITC" w:hAnsi="Kristen ITC"/>
          <w:b/>
          <w:sz w:val="24"/>
          <w:szCs w:val="24"/>
        </w:rPr>
        <w:t>Consob</w:t>
      </w:r>
      <w:proofErr w:type="spellEnd"/>
      <w:r w:rsidRPr="00D60F7A">
        <w:rPr>
          <w:rFonts w:ascii="Kristen ITC" w:hAnsi="Kristen ITC"/>
          <w:b/>
          <w:sz w:val="24"/>
          <w:szCs w:val="24"/>
        </w:rPr>
        <w:t xml:space="preserve">, Isvap) per la salvaguardia della stabilità del sistema finanziario italiano, la prevenzione e la gestione delle crisi finanziarie con potenziale effetto di natura sistemica, incluse quelle con ripercussioni rilevanti in altri paesi, attinenti a singole banche o imprese assicurative, gruppi bancari o assicurativi, conglomerati finanziari o altre istituzioni finanziarie in grado di avere effetti di contagio sul sistema finanziario italiano.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7.6. Conduzioni di indagini sui reati e loro perseguimento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L’interesse pubblico sotteso alla conduzione di indagini sui reati e il loro perseguimento è strettamente connesso alla sicurezza e all’ordine pubblico e all’esercizio di attività giudiziaria. Quanto alla sicurezza e all’ordine pubblico si rinvia a quanto indicato al § 7.1.  Con riferimento alle possibili sovrapposizioni con l’esercizio dell’attività giudiziaria, occorre chiarire che l’accesso generalizzato riguarda, atti, dati e informazioni che siano riconducibili a un’attività amministrativa, in senso oggettivo e funzionale. Esulano, pertanto, dall’accesso generalizzato gli atti giudiziari, cioè gli atti processuali o quelli che siano espressione della funzione giurisdizionale, ancorché non immediatamente collegati a provvedimenti che siano espressione dello “</w:t>
      </w:r>
      <w:proofErr w:type="spellStart"/>
      <w:r w:rsidRPr="00D60F7A">
        <w:rPr>
          <w:rFonts w:ascii="Kristen ITC" w:hAnsi="Kristen ITC"/>
          <w:b/>
          <w:sz w:val="24"/>
          <w:szCs w:val="24"/>
        </w:rPr>
        <w:t>ius</w:t>
      </w:r>
      <w:proofErr w:type="spellEnd"/>
      <w:r w:rsidRPr="00D60F7A">
        <w:rPr>
          <w:rFonts w:ascii="Kristen ITC" w:hAnsi="Kristen ITC"/>
          <w:b/>
          <w:sz w:val="24"/>
          <w:szCs w:val="24"/>
        </w:rPr>
        <w:t xml:space="preserve"> </w:t>
      </w:r>
      <w:proofErr w:type="spellStart"/>
      <w:r w:rsidRPr="00D60F7A">
        <w:rPr>
          <w:rFonts w:ascii="Kristen ITC" w:hAnsi="Kristen ITC"/>
          <w:b/>
          <w:sz w:val="24"/>
          <w:szCs w:val="24"/>
        </w:rPr>
        <w:t>dicere</w:t>
      </w:r>
      <w:proofErr w:type="spellEnd"/>
      <w:r w:rsidRPr="00D60F7A">
        <w:rPr>
          <w:rFonts w:ascii="Kristen ITC" w:hAnsi="Kristen ITC"/>
          <w:b/>
          <w:sz w:val="24"/>
          <w:szCs w:val="24"/>
        </w:rPr>
        <w:t xml:space="preserve">”, purché intimamente e strumentalmente connessi a questi ultimi. L’accesso e i limiti alla conoscenza degli atti giudiziari, ovvero di tutti gli atti che sono espressione della funzione giurisdizionale, anche se acquisiti in un procedimento amministrativo, sono infatti disciplinati da regole autonome previste dai rispettivi codici di rito. Si consideri, al </w:t>
      </w:r>
      <w:r w:rsidRPr="00D60F7A">
        <w:rPr>
          <w:rFonts w:ascii="Kristen ITC" w:hAnsi="Kristen ITC"/>
          <w:b/>
          <w:sz w:val="24"/>
          <w:szCs w:val="24"/>
        </w:rPr>
        <w:lastRenderedPageBreak/>
        <w:t xml:space="preserve">riguardo, la speciale disciplina del segreto istruttorio, ai sensi dell’art. 329 c.p.p.; il divieto di pubblicazione di atti (art. 114 c.p.p.) e il rilascio di copia di atti del procedimento a chiunque vi abbia interesse, previa autorizzazione del pubblico ministero o del giudice che procede (art. 116 c.p.p.). Per i giudizi civili, ad </w:t>
      </w:r>
      <w:proofErr w:type="gramStart"/>
      <w:r w:rsidRPr="00D60F7A">
        <w:rPr>
          <w:rFonts w:ascii="Kristen ITC" w:hAnsi="Kristen ITC"/>
          <w:b/>
          <w:sz w:val="24"/>
          <w:szCs w:val="24"/>
        </w:rPr>
        <w:t>esempio,  l’art.</w:t>
      </w:r>
      <w:proofErr w:type="gramEnd"/>
      <w:r w:rsidRPr="00D60F7A">
        <w:rPr>
          <w:rFonts w:ascii="Kristen ITC" w:hAnsi="Kristen ITC"/>
          <w:b/>
          <w:sz w:val="24"/>
          <w:szCs w:val="24"/>
        </w:rPr>
        <w:t xml:space="preserve"> 76 </w:t>
      </w:r>
      <w:proofErr w:type="spellStart"/>
      <w:r w:rsidRPr="00D60F7A">
        <w:rPr>
          <w:rFonts w:ascii="Kristen ITC" w:hAnsi="Kristen ITC"/>
          <w:b/>
          <w:sz w:val="24"/>
          <w:szCs w:val="24"/>
        </w:rPr>
        <w:t>disp</w:t>
      </w:r>
      <w:proofErr w:type="spellEnd"/>
      <w:r w:rsidRPr="00D60F7A">
        <w:rPr>
          <w:rFonts w:ascii="Kristen ITC" w:hAnsi="Kristen ITC"/>
          <w:b/>
          <w:sz w:val="24"/>
          <w:szCs w:val="24"/>
        </w:rPr>
        <w:t xml:space="preserve">. </w:t>
      </w:r>
      <w:proofErr w:type="spellStart"/>
      <w:r w:rsidRPr="00D60F7A">
        <w:rPr>
          <w:rFonts w:ascii="Kristen ITC" w:hAnsi="Kristen ITC"/>
          <w:b/>
          <w:sz w:val="24"/>
          <w:szCs w:val="24"/>
        </w:rPr>
        <w:t>att</w:t>
      </w:r>
      <w:proofErr w:type="spellEnd"/>
      <w:r w:rsidRPr="00D60F7A">
        <w:rPr>
          <w:rFonts w:ascii="Kristen ITC" w:hAnsi="Kristen ITC"/>
          <w:b/>
          <w:sz w:val="24"/>
          <w:szCs w:val="24"/>
        </w:rPr>
        <w:t xml:space="preserve">. </w:t>
      </w:r>
      <w:proofErr w:type="spellStart"/>
      <w:r w:rsidRPr="00D60F7A">
        <w:rPr>
          <w:rFonts w:ascii="Kristen ITC" w:hAnsi="Kristen ITC"/>
          <w:b/>
          <w:sz w:val="24"/>
          <w:szCs w:val="24"/>
        </w:rPr>
        <w:t>c.p.c.</w:t>
      </w:r>
      <w:proofErr w:type="spellEnd"/>
      <w:r w:rsidRPr="00D60F7A">
        <w:rPr>
          <w:rFonts w:ascii="Kristen ITC" w:hAnsi="Kristen ITC"/>
          <w:b/>
          <w:sz w:val="24"/>
          <w:szCs w:val="24"/>
        </w:rPr>
        <w:t>, che stabilisce che le parti e i loro difensori possono esaminare gli atti e i documenti inseriti nel fascicolo d’ufficio e in quelli delle altre parti e ottenere copia dal cancelliere; pertanto l’accesso è consentito solo alle parti e ai loro difensori. Per le procedure concorsuali la legge fallimentare che riconosce al comitato dei creditori e al fallito il diritto di prendere visione di ogni atto contenuto nel fascicolo, mentre per gli altri creditori e i terzi l’accesso è consentito purché gli stessi abbiano un interesse specifico e attuale, previa autorizzazione del giudice delegato, sentito il curatore (</w:t>
      </w:r>
      <w:proofErr w:type="spellStart"/>
      <w:r w:rsidRPr="00D60F7A">
        <w:rPr>
          <w:rFonts w:ascii="Kristen ITC" w:hAnsi="Kristen ITC"/>
          <w:b/>
          <w:sz w:val="24"/>
          <w:szCs w:val="24"/>
        </w:rPr>
        <w:t>r.d.</w:t>
      </w:r>
      <w:proofErr w:type="spellEnd"/>
      <w:r w:rsidRPr="00D60F7A">
        <w:rPr>
          <w:rFonts w:ascii="Kristen ITC" w:hAnsi="Kristen ITC"/>
          <w:b/>
          <w:sz w:val="24"/>
          <w:szCs w:val="24"/>
        </w:rPr>
        <w:t xml:space="preserve"> 16 marzo 1942, n. 267, art. 90).   La possibilità di consentire l’accesso alla documentazione inerente le indagini sui reati e sul loro perseguimento senza che ciò comporti un pregiudizio al corretto svolgimento delle stesse va valutata in relazione alla peculiarità della fattispecie e dello stato del procedimento penale. In merito all’accesso a documenti detenuti dalle amministrazioni che siano afferenti a un procedimento penale, occorre considerare che potrebbe non esservi una preclusione automatica e assoluta alla loro conoscibilità e che l’esistenza di un’indagine penale non è di per </w:t>
      </w:r>
      <w:proofErr w:type="spellStart"/>
      <w:r w:rsidRPr="00D60F7A">
        <w:rPr>
          <w:rFonts w:ascii="Kristen ITC" w:hAnsi="Kristen ITC"/>
          <w:b/>
          <w:sz w:val="24"/>
          <w:szCs w:val="24"/>
        </w:rPr>
        <w:t>sè</w:t>
      </w:r>
      <w:proofErr w:type="spellEnd"/>
      <w:r w:rsidRPr="00D60F7A">
        <w:rPr>
          <w:rFonts w:ascii="Kristen ITC" w:hAnsi="Kristen ITC"/>
          <w:b/>
          <w:sz w:val="24"/>
          <w:szCs w:val="24"/>
        </w:rPr>
        <w:t xml:space="preserve"> causa ostativa all’accesso a documenti che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Autorità Nazionale Anticorruzione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20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roofErr w:type="gramStart"/>
      <w:r w:rsidRPr="00D60F7A">
        <w:rPr>
          <w:rFonts w:ascii="Kristen ITC" w:hAnsi="Kristen ITC"/>
          <w:b/>
          <w:sz w:val="24"/>
          <w:szCs w:val="24"/>
        </w:rPr>
        <w:t>siano</w:t>
      </w:r>
      <w:proofErr w:type="gramEnd"/>
      <w:r w:rsidRPr="00D60F7A">
        <w:rPr>
          <w:rFonts w:ascii="Kristen ITC" w:hAnsi="Kristen ITC"/>
          <w:b/>
          <w:sz w:val="24"/>
          <w:szCs w:val="24"/>
        </w:rPr>
        <w:t xml:space="preserve"> confluiti nel fascicolo del procedimento penale o che in qualsiasi modo possano risultare connessi con i fatti oggetto di indagine. Resta, </w:t>
      </w:r>
      <w:proofErr w:type="gramStart"/>
      <w:r w:rsidRPr="00D60F7A">
        <w:rPr>
          <w:rFonts w:ascii="Kristen ITC" w:hAnsi="Kristen ITC"/>
          <w:b/>
          <w:sz w:val="24"/>
          <w:szCs w:val="24"/>
        </w:rPr>
        <w:t>comunque,  ferma</w:t>
      </w:r>
      <w:proofErr w:type="gramEnd"/>
      <w:r w:rsidRPr="00D60F7A">
        <w:rPr>
          <w:rFonts w:ascii="Kristen ITC" w:hAnsi="Kristen ITC"/>
          <w:b/>
          <w:sz w:val="24"/>
          <w:szCs w:val="24"/>
        </w:rPr>
        <w:t xml:space="preserve"> la disciplina in materia di tutela dei dati personali e quanto previsto dalle presenti linee guida ai §§ 6.2.1 e 8.1. Al riguardo, si fa presente che, secondo un prevalente orientamento giurisprudenziale, non ogni denuncia di reato presentata dalla pubblica amministrazione all'autorità giudiziaria costituisce atto coperto da segreto istruttorio penale e come tale sottratto all'accesso; laddove, infatti, la </w:t>
      </w:r>
      <w:r w:rsidRPr="00D60F7A">
        <w:rPr>
          <w:rFonts w:ascii="Kristen ITC" w:hAnsi="Kristen ITC"/>
          <w:b/>
          <w:sz w:val="24"/>
          <w:szCs w:val="24"/>
        </w:rPr>
        <w:lastRenderedPageBreak/>
        <w:t>denuncia sia riconducibile all'esercizio delle istituzionali funzioni amministrative, l’atto non ricade nell’ambito di applicazione dell’art. 329 c.p.p. e non può ritenersi coperto dal segreto istruttorio. Diversamente, se la pubblica amministrazione trasmette all'autorità giudiziaria una notizia di reato nell'esercizio di funzioni di polizia giudiziaria specificamente attribuite dall'ordinamento, si è in presenza di atti di indagine compiuti dalla polizia giudiziaria, che, come tali, sono soggetti a segreto istruttorio ai sensi dell'art. 329 c.p.p. (</w:t>
      </w:r>
      <w:proofErr w:type="spellStart"/>
      <w:r w:rsidRPr="00D60F7A">
        <w:rPr>
          <w:rFonts w:ascii="Kristen ITC" w:hAnsi="Kristen ITC"/>
          <w:b/>
          <w:sz w:val="24"/>
          <w:szCs w:val="24"/>
        </w:rPr>
        <w:t>Cons</w:t>
      </w:r>
      <w:proofErr w:type="spellEnd"/>
      <w:r w:rsidRPr="00D60F7A">
        <w:rPr>
          <w:rFonts w:ascii="Kristen ITC" w:hAnsi="Kristen ITC"/>
          <w:b/>
          <w:sz w:val="24"/>
          <w:szCs w:val="24"/>
        </w:rPr>
        <w:t xml:space="preserve">. Stato, sez. VI, 29 gennaio 2013, n. 547).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7.7. Regolare svolgimento di attività ispettive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L’attività ispettiva è preordinata ad acquisire elementi conoscitivi necessari per lo svolgimento delle funzioni di competenza delle pubbliche amministrazioni. Le attività ispettive, che, come chiarito dalla Corte costituzionale, rappresentano la più rilevante modalità di svolgimento dell’attività di vigilanza, possono essere disposte a fini generalmente conoscitivi, ovvero al fine di acquisire dati conoscitivi strettamente connessi alla valutazione dell’interesse pubblico all’interno di un procedimento volto all’adozione di un atto amministrativo. Solo nei casi di stretta strumentalità della attività ispettive rispetto all’adozione di un provvedimento amministrativo conclusivo del procedimento principale, in linea generale l’accessibilità ai documenti ispettivi può concretizzarsi solo dopo che gli atti conclusivi del procedimento abbiano assunto il carattere di definitività. Ne consegue che le restrizioni all’accesso si applicano di norma unicamente per il periodo nel quale la protezione è giustificata dall’esigenza di non compromettere la decisione finale da valutarsi anche in relazione alla necessità di non pregiudicare attività ispettive collegate a quelle oggetto dell’accesso o quelle, ad esse connesse, che l’amministrazione abbia già programmato di realizzare. In questi casi, le amministrazioni possono fare uso del potere di differimento dell’accesso  Limitazioni all’accesso nella fase </w:t>
      </w:r>
      <w:proofErr w:type="spellStart"/>
      <w:r w:rsidRPr="00D60F7A">
        <w:rPr>
          <w:rFonts w:ascii="Kristen ITC" w:hAnsi="Kristen ITC"/>
          <w:b/>
          <w:sz w:val="24"/>
          <w:szCs w:val="24"/>
        </w:rPr>
        <w:t>endoprocedimentale</w:t>
      </w:r>
      <w:proofErr w:type="spellEnd"/>
      <w:r w:rsidRPr="00D60F7A">
        <w:rPr>
          <w:rFonts w:ascii="Kristen ITC" w:hAnsi="Kristen ITC"/>
          <w:b/>
          <w:sz w:val="24"/>
          <w:szCs w:val="24"/>
        </w:rPr>
        <w:t xml:space="preserve"> ispettiva, che possono essere motivate dall’evitare il pregiudizio al regolare svolgimento della stessa, possono riguardare a mero titolo di esempio le notizie sulla programmazione dell’attività di vigilanza, sulle modalità e i tempi del suo svolgimento, le indagini sull’attività degli uffici, dei singoli dipendenti, o sull’attività di enti  pubblici e  privati su cui l’amministrazione esercita forme di vigilanza. Ciò vale sia per le richieste e le indagini condotte d’ufficio, sia per quelle avviate su segnalazione di privati, di organizzazioni di categoria o sindacali </w:t>
      </w:r>
      <w:proofErr w:type="gramStart"/>
      <w:r w:rsidRPr="00D60F7A">
        <w:rPr>
          <w:rFonts w:ascii="Kristen ITC" w:hAnsi="Kristen ITC"/>
          <w:b/>
          <w:sz w:val="24"/>
          <w:szCs w:val="24"/>
        </w:rPr>
        <w:t>e  similari</w:t>
      </w:r>
      <w:proofErr w:type="gramEnd"/>
      <w:r w:rsidRPr="00D60F7A">
        <w:rPr>
          <w:rFonts w:ascii="Kristen ITC" w:hAnsi="Kristen ITC"/>
          <w:b/>
          <w:sz w:val="24"/>
          <w:szCs w:val="24"/>
        </w:rPr>
        <w:t xml:space="preserve">. Sono riconducibili alle limitazioni soprarichiamate anche le attività ispettive presso istituti di patronato, enti previdenziali e assistenziali, anche in sedi estere. Le attività ispettive disposte e </w:t>
      </w:r>
      <w:r w:rsidRPr="00D60F7A">
        <w:rPr>
          <w:rFonts w:ascii="Kristen ITC" w:hAnsi="Kristen ITC"/>
          <w:b/>
          <w:sz w:val="24"/>
          <w:szCs w:val="24"/>
        </w:rPr>
        <w:lastRenderedPageBreak/>
        <w:t xml:space="preserve">realizzate al di fuori di uno stretto collegamento con un determinato procedimento amministrativo, possono porre esigenze di tutela in caso di accesso generalizzato diverse dalle prime. L’eventuale differimento, quindi, non sarà funzionale a garantire la riservatezza nel procedimento, ma ad altre esigenze di riservatezza dei dati raccolti, che ne sconsigliano la diffusione. Essendo l’attività ispettiva di carattere trasversale rispetto alle attività svolte dalle pubbliche amministrazioni e dai soggetti tenuti a garantire l’accesso generalizzato, occorre anche porre in evidenza le possibili ricadute che l’accesso anche differito alle attività ispettive può comportare rispetto alla tutela degli altri interessi protetti nella stessa norma sull’accesso generalizzato Si considerino, a mero titolo di esempio e sempre fatta salva la necessità di una attenta valutazione nel caso specifico, i documenti relativi all’attività ispettiva dalla cui diffusione possa comunque derivare pregiudizio alla prevenzione e repressione della criminalità nei settori di competenza anche attraverso la conoscenza delle tecniche informative ed operative nonché degli atti di organizzazione interna, quando questa possa pregiudicare le singole attività di indagine; a documenti relativi ad attività ispettiva la cui diffusione può pregiudicare l’attività di organismi nazionali ed esteri, ovvero incidere sulla correttezza delle relazioni internazionali; a documenti acquisiti nel corso di attività ispettive la cui diffusione potrebbe ledere la proprietà intellettuale, il diritto di autore o segreti commerciali di soggetti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Autorità Nazionale Anticorruzione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21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roofErr w:type="gramStart"/>
      <w:r w:rsidRPr="00D60F7A">
        <w:rPr>
          <w:rFonts w:ascii="Kristen ITC" w:hAnsi="Kristen ITC"/>
          <w:b/>
          <w:sz w:val="24"/>
          <w:szCs w:val="24"/>
        </w:rPr>
        <w:t>pubblici</w:t>
      </w:r>
      <w:proofErr w:type="gramEnd"/>
      <w:r w:rsidRPr="00D60F7A">
        <w:rPr>
          <w:rFonts w:ascii="Kristen ITC" w:hAnsi="Kristen ITC"/>
          <w:b/>
          <w:sz w:val="24"/>
          <w:szCs w:val="24"/>
        </w:rPr>
        <w:t xml:space="preserve"> o privati. Ancora, laddove l’attività ispettiva possa comportare l’acquisizione di documentazione processuale anche penale, la richiesta di accesso generalizzato potrà trovare accoglimento </w:t>
      </w:r>
      <w:proofErr w:type="spellStart"/>
      <w:r w:rsidRPr="00D60F7A">
        <w:rPr>
          <w:rFonts w:ascii="Kristen ITC" w:hAnsi="Kristen ITC"/>
          <w:b/>
          <w:sz w:val="24"/>
          <w:szCs w:val="24"/>
        </w:rPr>
        <w:t>purchè</w:t>
      </w:r>
      <w:proofErr w:type="spellEnd"/>
      <w:r w:rsidRPr="00D60F7A">
        <w:rPr>
          <w:rFonts w:ascii="Kristen ITC" w:hAnsi="Kristen ITC"/>
          <w:b/>
          <w:sz w:val="24"/>
          <w:szCs w:val="24"/>
        </w:rPr>
        <w:t xml:space="preserve"> non comporti, tra gli altri, un pregiudizio </w:t>
      </w:r>
      <w:proofErr w:type="gramStart"/>
      <w:r w:rsidRPr="00D60F7A">
        <w:rPr>
          <w:rFonts w:ascii="Kristen ITC" w:hAnsi="Kristen ITC"/>
          <w:b/>
          <w:sz w:val="24"/>
          <w:szCs w:val="24"/>
        </w:rPr>
        <w:t>al  corretto</w:t>
      </w:r>
      <w:proofErr w:type="gramEnd"/>
      <w:r w:rsidRPr="00D60F7A">
        <w:rPr>
          <w:rFonts w:ascii="Kristen ITC" w:hAnsi="Kristen ITC"/>
          <w:b/>
          <w:sz w:val="24"/>
          <w:szCs w:val="24"/>
        </w:rPr>
        <w:t xml:space="preserve"> svolgimento dell’attività di indagine (cfr. §7.6).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8. I limiti (esclusioni relative o qualificate) al diritto di accesso generalizzato </w:t>
      </w:r>
      <w:r w:rsidRPr="00D60F7A">
        <w:rPr>
          <w:rFonts w:ascii="Kristen ITC" w:hAnsi="Kristen ITC"/>
          <w:b/>
          <w:sz w:val="24"/>
          <w:szCs w:val="24"/>
        </w:rPr>
        <w:lastRenderedPageBreak/>
        <w:t xml:space="preserve">derivanti dalla tutela di interessi privati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Il decreto trasparenza ha previsto, all’art. 5-bis, comma 2, che l’accesso generalizzato è rifiutato se il diniego è necessario per evitare il pregiudizio concreto alla tutela degli interessi privati specificamente indicati dalla norma e cioè:  a) protezione dei dati personali b) libertà e segretezza della corrispondenza  c) interessi economici e commerciali di una persona fisica o giuridica, ivi compresi proprietà intellettuale, diritto d'autore e segreti commerciali  In questo paragrafo si riportano le linee guida per la corretta applicazione di tale disposizione. 8.1. I limiti derivanti dalla protezione dei dati personali.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L’art. 5-bis, comma 2, </w:t>
      </w:r>
      <w:proofErr w:type="spellStart"/>
      <w:r w:rsidRPr="00D60F7A">
        <w:rPr>
          <w:rFonts w:ascii="Kristen ITC" w:hAnsi="Kristen ITC"/>
          <w:b/>
          <w:sz w:val="24"/>
          <w:szCs w:val="24"/>
        </w:rPr>
        <w:t>lett</w:t>
      </w:r>
      <w:proofErr w:type="spellEnd"/>
      <w:r w:rsidRPr="00D60F7A">
        <w:rPr>
          <w:rFonts w:ascii="Kristen ITC" w:hAnsi="Kristen ITC"/>
          <w:b/>
          <w:sz w:val="24"/>
          <w:szCs w:val="24"/>
        </w:rPr>
        <w:t xml:space="preserve">. a), del d. </w:t>
      </w:r>
      <w:proofErr w:type="spellStart"/>
      <w:r w:rsidRPr="00D60F7A">
        <w:rPr>
          <w:rFonts w:ascii="Kristen ITC" w:hAnsi="Kristen ITC"/>
          <w:b/>
          <w:sz w:val="24"/>
          <w:szCs w:val="24"/>
        </w:rPr>
        <w:t>lgs</w:t>
      </w:r>
      <w:proofErr w:type="spellEnd"/>
      <w:r w:rsidRPr="00D60F7A">
        <w:rPr>
          <w:rFonts w:ascii="Kristen ITC" w:hAnsi="Kristen ITC"/>
          <w:b/>
          <w:sz w:val="24"/>
          <w:szCs w:val="24"/>
        </w:rPr>
        <w:t xml:space="preserve">. n. 33/2013 prevede che l’accesso generalizzato deve essere rifiutato laddove possa recare un pregiudizio concreto «alla protezione dei dati personali, in conformità con la disciplina legislativa in materia». Occorre in primo luogo rilevare che per «dato personale» si intende «qualunque informazione relativa a persona fisica, identificata o identificabile, anche indirettamente, mediante riferimento a qualsiasi altra informazione, ivi compreso un numero di identificazione personale» (art. 4, comma 1, </w:t>
      </w:r>
      <w:proofErr w:type="spellStart"/>
      <w:r w:rsidRPr="00D60F7A">
        <w:rPr>
          <w:rFonts w:ascii="Kristen ITC" w:hAnsi="Kristen ITC"/>
          <w:b/>
          <w:sz w:val="24"/>
          <w:szCs w:val="24"/>
        </w:rPr>
        <w:t>lett</w:t>
      </w:r>
      <w:proofErr w:type="spellEnd"/>
      <w:r w:rsidRPr="00D60F7A">
        <w:rPr>
          <w:rFonts w:ascii="Kristen ITC" w:hAnsi="Kristen ITC"/>
          <w:b/>
          <w:sz w:val="24"/>
          <w:szCs w:val="24"/>
        </w:rPr>
        <w:t xml:space="preserve">. b, del Codice in materia di protezione dei dati personali - d. </w:t>
      </w:r>
      <w:proofErr w:type="spellStart"/>
      <w:r w:rsidRPr="00D60F7A">
        <w:rPr>
          <w:rFonts w:ascii="Kristen ITC" w:hAnsi="Kristen ITC"/>
          <w:b/>
          <w:sz w:val="24"/>
          <w:szCs w:val="24"/>
        </w:rPr>
        <w:t>lgs</w:t>
      </w:r>
      <w:proofErr w:type="spellEnd"/>
      <w:r w:rsidRPr="00D60F7A">
        <w:rPr>
          <w:rFonts w:ascii="Kristen ITC" w:hAnsi="Kristen ITC"/>
          <w:b/>
          <w:sz w:val="24"/>
          <w:szCs w:val="24"/>
        </w:rPr>
        <w:t xml:space="preserve">. 30 giugno 2003, n. 196, di seguito “Codice”). Le informazioni riferite a persone giuridiche, enti e associazioni non rientrano, quindi, in tale nozione4.  In proposito, con riferimento alle istanze di accesso generalizzato aventi a oggetto dati e documenti relativi a (o contenenti) dati personali, l’ente destinatario dell’istanza deve valutare, nel fornire riscontro motivato a richieste di accesso generalizzato, se la conoscenza da parte di chiunque del dato personale richiesto arreca (o possa arrecare) un pregiudizio concreto alla protezione dei dati personali, in conformità alla disciplina legislativa in materia. La ritenuta sussistenza di tale pregiudizio comporta il rigetto dell’istanza, a meno che non si consideri di poterla accogliere, oscurando i dati personali eventualmente presenti e le altre informazioni che possono consentire l’identificazione, anche indiretta, del soggetto interessato. In tale contesto, devono essere tenute in considerazione le motivazioni addotte dal soggetto controinteressato, che deve essere obbligatoriamente interpellato dall’ente destinatario della richiesta di accesso generalizzato, ai sensi dell’art. 5, comma 5, del d. </w:t>
      </w:r>
      <w:proofErr w:type="spellStart"/>
      <w:r w:rsidRPr="00D60F7A">
        <w:rPr>
          <w:rFonts w:ascii="Kristen ITC" w:hAnsi="Kristen ITC"/>
          <w:b/>
          <w:sz w:val="24"/>
          <w:szCs w:val="24"/>
        </w:rPr>
        <w:t>lgs</w:t>
      </w:r>
      <w:proofErr w:type="spellEnd"/>
      <w:r w:rsidRPr="00D60F7A">
        <w:rPr>
          <w:rFonts w:ascii="Kristen ITC" w:hAnsi="Kristen ITC"/>
          <w:b/>
          <w:sz w:val="24"/>
          <w:szCs w:val="24"/>
        </w:rPr>
        <w:t xml:space="preserve">. n. 33/2013. Tali motivazioni costituiscono un indice della sussistenza di un pregiudizio concreto, la cui valutazione però spetta all’ente e va condotta anche in caso di silenzio del controinteressato, tenendo, altresì, in considerazione gli altri elementi illustrati di seguito.  La disciplina in materia di protezione dei dati </w:t>
      </w:r>
      <w:r w:rsidRPr="00D60F7A">
        <w:rPr>
          <w:rFonts w:ascii="Kristen ITC" w:hAnsi="Kristen ITC"/>
          <w:b/>
          <w:sz w:val="24"/>
          <w:szCs w:val="24"/>
        </w:rPr>
        <w:lastRenderedPageBreak/>
        <w:t xml:space="preserve">personali prevede che ogni trattamento – quindi anche una comunicazione di dati personali a un terzo tramite l’accesso generalizzato – deve essere effettuato «nel rispetto dei diritti e delle libertà fondamentali, nonché della dignità dell’interessato, con particolare riferimento alla riservatezza, all’identità personale […]», ivi inclusi il diritto alla reputazione, all’immagine, al nome, all’oblio5, nonché i diritti inviolabili della persona di cui agli artt. 2 e 3 della Costituzione. Nel quadro descritto, anche le comunicazioni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4 Cfr. art. 40, comma 2, del </w:t>
      </w:r>
      <w:proofErr w:type="spellStart"/>
      <w:r w:rsidRPr="00D60F7A">
        <w:rPr>
          <w:rFonts w:ascii="Kristen ITC" w:hAnsi="Kristen ITC"/>
          <w:b/>
          <w:sz w:val="24"/>
          <w:szCs w:val="24"/>
        </w:rPr>
        <w:t>d.l.</w:t>
      </w:r>
      <w:proofErr w:type="spellEnd"/>
      <w:r w:rsidRPr="00D60F7A">
        <w:rPr>
          <w:rFonts w:ascii="Kristen ITC" w:hAnsi="Kristen ITC"/>
          <w:b/>
          <w:sz w:val="24"/>
          <w:szCs w:val="24"/>
        </w:rPr>
        <w:t xml:space="preserve"> 6/12/2011, n. 201, convertito con modificazioni in l. 22 dicembre 2011, n. 214. 5 Cfr. art. 17, nonché </w:t>
      </w:r>
      <w:proofErr w:type="spellStart"/>
      <w:r w:rsidRPr="00D60F7A">
        <w:rPr>
          <w:rFonts w:ascii="Kristen ITC" w:hAnsi="Kristen ITC"/>
          <w:b/>
          <w:sz w:val="24"/>
          <w:szCs w:val="24"/>
        </w:rPr>
        <w:t>consideranda</w:t>
      </w:r>
      <w:proofErr w:type="spellEnd"/>
      <w:r w:rsidRPr="00D60F7A">
        <w:rPr>
          <w:rFonts w:ascii="Kristen ITC" w:hAnsi="Kristen ITC"/>
          <w:b/>
          <w:sz w:val="24"/>
          <w:szCs w:val="24"/>
        </w:rPr>
        <w:t xml:space="preserve"> </w:t>
      </w:r>
      <w:proofErr w:type="spellStart"/>
      <w:r w:rsidRPr="00D60F7A">
        <w:rPr>
          <w:rFonts w:ascii="Kristen ITC" w:hAnsi="Kristen ITC"/>
          <w:b/>
          <w:sz w:val="24"/>
          <w:szCs w:val="24"/>
        </w:rPr>
        <w:t>nn</w:t>
      </w:r>
      <w:proofErr w:type="spellEnd"/>
      <w:r w:rsidRPr="00D60F7A">
        <w:rPr>
          <w:rFonts w:ascii="Kristen ITC" w:hAnsi="Kristen ITC"/>
          <w:b/>
          <w:sz w:val="24"/>
          <w:szCs w:val="24"/>
        </w:rPr>
        <w:t xml:space="preserve">. 65 e 66 del Regolamento (UE) n. 679/2016 del Parlamento europeo e del Consiglio, del 27 aprile 2016 relativo alla protezione delle persone fisiche con riguardo al trattamento dei dati personali, nonché alla libera circolazione di tali dati e che abroga la direttiva 95/46/CE.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Autorità Nazionale Anticorruzione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22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roofErr w:type="gramStart"/>
      <w:r w:rsidRPr="00D60F7A">
        <w:rPr>
          <w:rFonts w:ascii="Kristen ITC" w:hAnsi="Kristen ITC"/>
          <w:b/>
          <w:sz w:val="24"/>
          <w:szCs w:val="24"/>
        </w:rPr>
        <w:t>di</w:t>
      </w:r>
      <w:proofErr w:type="gramEnd"/>
      <w:r w:rsidRPr="00D60F7A">
        <w:rPr>
          <w:rFonts w:ascii="Kristen ITC" w:hAnsi="Kristen ITC"/>
          <w:b/>
          <w:sz w:val="24"/>
          <w:szCs w:val="24"/>
        </w:rPr>
        <w:t xml:space="preserve"> dati personali nell’ambito del procedimento di accesso generalizzato non devono determinare un’interferenza ingiustificata e sproporzionata nei diritti e libertà delle persone cui si riferiscono tali dati ai sensi dell’art. 8 della Convenzione europea per la salvaguardai dei diritti dell’uomo e delle libertà fondamentali, dell’art. 8 della Carta dei diritti fondamentali dell’Unione europea e della giurisprudenza europea in materia. Il richiamo espresso alla disciplina legislativa sulla protezione dei dati personali da parte dell’art. 5-bis, comma 2, </w:t>
      </w:r>
      <w:proofErr w:type="spellStart"/>
      <w:r w:rsidRPr="00D60F7A">
        <w:rPr>
          <w:rFonts w:ascii="Kristen ITC" w:hAnsi="Kristen ITC"/>
          <w:b/>
          <w:sz w:val="24"/>
          <w:szCs w:val="24"/>
        </w:rPr>
        <w:t>lett</w:t>
      </w:r>
      <w:proofErr w:type="spellEnd"/>
      <w:r w:rsidRPr="00D60F7A">
        <w:rPr>
          <w:rFonts w:ascii="Kristen ITC" w:hAnsi="Kristen ITC"/>
          <w:b/>
          <w:sz w:val="24"/>
          <w:szCs w:val="24"/>
        </w:rPr>
        <w:t xml:space="preserve">. a), del d. </w:t>
      </w:r>
      <w:proofErr w:type="spellStart"/>
      <w:r w:rsidRPr="00D60F7A">
        <w:rPr>
          <w:rFonts w:ascii="Kristen ITC" w:hAnsi="Kristen ITC"/>
          <w:b/>
          <w:sz w:val="24"/>
          <w:szCs w:val="24"/>
        </w:rPr>
        <w:t>lgs</w:t>
      </w:r>
      <w:proofErr w:type="spellEnd"/>
      <w:r w:rsidRPr="00D60F7A">
        <w:rPr>
          <w:rFonts w:ascii="Kristen ITC" w:hAnsi="Kristen ITC"/>
          <w:b/>
          <w:sz w:val="24"/>
          <w:szCs w:val="24"/>
        </w:rPr>
        <w:t xml:space="preserve">. n. 33/2013 comporta, quindi, che nella valutazione del pregiudizio concreto, si faccia, altresì, riferimento ai principi generali sul trattamento e, in particolare, a quelli di necessità, proporzionalità, pertinenza e non eccedenza, in conformità alla giurisprudenza della Corte di Giustizia Europea6, del Consiglio di Stato7, nonché al nuovo quadro normativo in materia di protezione dei dati introdotto dal </w:t>
      </w:r>
      <w:r w:rsidRPr="00D60F7A">
        <w:rPr>
          <w:rFonts w:ascii="Kristen ITC" w:hAnsi="Kristen ITC"/>
          <w:b/>
          <w:sz w:val="24"/>
          <w:szCs w:val="24"/>
        </w:rPr>
        <w:lastRenderedPageBreak/>
        <w:t xml:space="preserve">Regolamento (UE) n. 679/20168.  In attuazione dei predetti principi, il soggetto destinatario dell’istanza, nel dare riscontro alla richiesta di accesso generalizzato, dovrebbe in linea generale scegliere le modalità meno pregiudizievoli per i diritti dell’interessato, privilegiando l’ostensione di documenti con l’omissione dei «dati personali» in esso presenti, laddove l’esigenza informativa, alla base dell’accesso generalizzato, possa essere raggiunta senza implicare il trattamento dei dati personali. In tal modo, tra l’altro, si soddisfa anche la finalità di rendere più celere il procedimento relativo alla richiesta di accesso generalizzato, potendo accogliere l’istanza senza dover attivare l’onerosa procedura di coinvolgimento del soggetto «controinteressato» (art. 5, comma 5, del d. </w:t>
      </w:r>
      <w:proofErr w:type="spellStart"/>
      <w:r w:rsidRPr="00D60F7A">
        <w:rPr>
          <w:rFonts w:ascii="Kristen ITC" w:hAnsi="Kristen ITC"/>
          <w:b/>
          <w:sz w:val="24"/>
          <w:szCs w:val="24"/>
        </w:rPr>
        <w:t>lgs</w:t>
      </w:r>
      <w:proofErr w:type="spellEnd"/>
      <w:r w:rsidRPr="00D60F7A">
        <w:rPr>
          <w:rFonts w:ascii="Kristen ITC" w:hAnsi="Kristen ITC"/>
          <w:b/>
          <w:sz w:val="24"/>
          <w:szCs w:val="24"/>
        </w:rPr>
        <w:t xml:space="preserve">. n. 33/2013). Al riguardo, deve essere ancora evidenziato che l’accesso generalizzato è servente rispetto alla conoscenza di dati e documenti detenuti dalla p.a. «Allo scopo di favorire forme diffuse di controllo sul perseguimento delle funzioni istituzionali e sull’utilizzo delle risorse pubbliche e di promuovere la partecipazione al dibattito pubblico» (art. 5, comma 2, del d. </w:t>
      </w:r>
      <w:proofErr w:type="spellStart"/>
      <w:r w:rsidRPr="00D60F7A">
        <w:rPr>
          <w:rFonts w:ascii="Kristen ITC" w:hAnsi="Kristen ITC"/>
          <w:b/>
          <w:sz w:val="24"/>
          <w:szCs w:val="24"/>
        </w:rPr>
        <w:t>lgs</w:t>
      </w:r>
      <w:proofErr w:type="spellEnd"/>
      <w:r w:rsidRPr="00D60F7A">
        <w:rPr>
          <w:rFonts w:ascii="Kristen ITC" w:hAnsi="Kristen ITC"/>
          <w:b/>
          <w:sz w:val="24"/>
          <w:szCs w:val="24"/>
        </w:rPr>
        <w:t xml:space="preserve">. n. 33/2013). Di conseguenza, quando l’oggetto della richiesta di accesso riguarda documenti contenenti informazioni relative a persone fisiche (e in quanto tali «dati personali») non necessarie al raggiungimento del predetto scopo, oppure informazioni personali di dettaglio che risultino comunque sproporzionate, eccedenti e non pertinenti, l’ente destinatario della richiesta dovrebbe accordare l’accesso parziale ai documenti, oscurando i dati personali ivi presenti9.  Ai fini della valutazione del pregiudizio concreto, vanno prese in considerazione le conseguenze – anche legate alla sfera morale, relazionale e sociale – che potrebbero derivare all’interessato (o ad altre persone alle quali esso è legato da un vincolo affettivo) dalla conoscibilità, da parte di chiunque, del dato o del documento richiesto, tenuto conto delle implicazioni derivanti dalla previsione di cui all’art. 3, comma 1, del d. </w:t>
      </w:r>
      <w:proofErr w:type="spellStart"/>
      <w:r w:rsidRPr="00D60F7A">
        <w:rPr>
          <w:rFonts w:ascii="Kristen ITC" w:hAnsi="Kristen ITC"/>
          <w:b/>
          <w:sz w:val="24"/>
          <w:szCs w:val="24"/>
        </w:rPr>
        <w:t>lgs</w:t>
      </w:r>
      <w:proofErr w:type="spellEnd"/>
      <w:r w:rsidRPr="00D60F7A">
        <w:rPr>
          <w:rFonts w:ascii="Kristen ITC" w:hAnsi="Kristen ITC"/>
          <w:b/>
          <w:sz w:val="24"/>
          <w:szCs w:val="24"/>
        </w:rPr>
        <w:t xml:space="preserve">. n. 33/2013, in base alla quale i dati e i documenti forniti al richiedente tramite l’accesso generalizzato sono considerati come «pubblici», sebbene il loro ulteriore trattamento vada in ogni caso effettuato nel rispetto dei limiti derivanti dalla normativa in materia di protezione dei dati personali (art. 7 del d. </w:t>
      </w:r>
      <w:proofErr w:type="spellStart"/>
      <w:r w:rsidRPr="00D60F7A">
        <w:rPr>
          <w:rFonts w:ascii="Kristen ITC" w:hAnsi="Kristen ITC"/>
          <w:b/>
          <w:sz w:val="24"/>
          <w:szCs w:val="24"/>
        </w:rPr>
        <w:t>lgs</w:t>
      </w:r>
      <w:proofErr w:type="spellEnd"/>
      <w:r w:rsidRPr="00D60F7A">
        <w:rPr>
          <w:rFonts w:ascii="Kristen ITC" w:hAnsi="Kristen ITC"/>
          <w:b/>
          <w:sz w:val="24"/>
          <w:szCs w:val="24"/>
        </w:rPr>
        <w:t xml:space="preserve">. n. 33/2013). Tali conseguenze potrebbero riguardare, ad esempio, future azioni da parte di terzi nei confronti dell’interessato, o situazioni che potrebbero determinare l’estromissione o la discriminazione dello stesso individuo, oppure altri svantaggi personali e/o sociali10. In questo quadro, può essere valutata, ad esempio, l’eventualità che l’interessato possa essere esposto a minacce, intimidazioni, ritorsioni o turbative al regolare svolgimento delle funzioni pubbliche o delle attività di pubblico interesse esercitate, che potrebbero derivare, a seconda delle particolari circostanze del caso, dalla conoscibilità di determinati dati11. </w:t>
      </w:r>
      <w:r w:rsidRPr="00D60F7A">
        <w:rPr>
          <w:rFonts w:ascii="Kristen ITC" w:hAnsi="Kristen ITC"/>
          <w:b/>
          <w:sz w:val="24"/>
          <w:szCs w:val="24"/>
        </w:rPr>
        <w:lastRenderedPageBreak/>
        <w:t xml:space="preserve">Analogamente, vanno tenuti in debito conto i casi in cui la conoscibilità di determinati dati personali da parte di chiunque possa favorire il verificarsi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6 Corte di Giustizia (Grande Sezione), 29 giugno 2010, procedimento C</w:t>
      </w:r>
      <w:r w:rsidRPr="00D60F7A">
        <w:rPr>
          <w:rFonts w:ascii="Times New Roman" w:hAnsi="Times New Roman"/>
          <w:b/>
          <w:sz w:val="24"/>
          <w:szCs w:val="24"/>
        </w:rPr>
        <w:t>‑</w:t>
      </w:r>
      <w:r w:rsidRPr="00D60F7A">
        <w:rPr>
          <w:rFonts w:ascii="Kristen ITC" w:hAnsi="Kristen ITC"/>
          <w:b/>
          <w:sz w:val="24"/>
          <w:szCs w:val="24"/>
        </w:rPr>
        <w:t xml:space="preserve">28/08 P, </w:t>
      </w:r>
      <w:proofErr w:type="spellStart"/>
      <w:r w:rsidRPr="00D60F7A">
        <w:rPr>
          <w:rFonts w:ascii="Kristen ITC" w:hAnsi="Kristen ITC"/>
          <w:b/>
          <w:sz w:val="24"/>
          <w:szCs w:val="24"/>
        </w:rPr>
        <w:t>Bavarian</w:t>
      </w:r>
      <w:proofErr w:type="spellEnd"/>
      <w:r w:rsidRPr="00D60F7A">
        <w:rPr>
          <w:rFonts w:ascii="Kristen ITC" w:hAnsi="Kristen ITC"/>
          <w:b/>
          <w:sz w:val="24"/>
          <w:szCs w:val="24"/>
        </w:rPr>
        <w:t xml:space="preserve"> Lager c. Commissione europea. 7 Consiglio di Stato, 12/8/2016, n. 3631. 8 Cfr., in particolare, considerando n. 154 e artt. 5 e 86. 9 Si pensi, ad esempio, a dati di persone fisiche quali, fra l’altro, la data di nascita, il codice fiscale, il domicilio o l’indirizzo di residenza, i recapiti telefonici o di posta elettronica personali, l’ISEE o la relativa fascia, i dati bancari, ecc. 10 Cfr. Gruppo Art. 29, Opinion 03/2013 on </w:t>
      </w:r>
      <w:proofErr w:type="spellStart"/>
      <w:r w:rsidRPr="00D60F7A">
        <w:rPr>
          <w:rFonts w:ascii="Kristen ITC" w:hAnsi="Kristen ITC"/>
          <w:b/>
          <w:sz w:val="24"/>
          <w:szCs w:val="24"/>
        </w:rPr>
        <w:t>purpose</w:t>
      </w:r>
      <w:proofErr w:type="spellEnd"/>
      <w:r w:rsidRPr="00D60F7A">
        <w:rPr>
          <w:rFonts w:ascii="Kristen ITC" w:hAnsi="Kristen ITC"/>
          <w:b/>
          <w:sz w:val="24"/>
          <w:szCs w:val="24"/>
        </w:rPr>
        <w:t xml:space="preserve"> </w:t>
      </w:r>
      <w:proofErr w:type="spellStart"/>
      <w:r w:rsidRPr="00D60F7A">
        <w:rPr>
          <w:rFonts w:ascii="Kristen ITC" w:hAnsi="Kristen ITC"/>
          <w:b/>
          <w:sz w:val="24"/>
          <w:szCs w:val="24"/>
        </w:rPr>
        <w:t>limitation</w:t>
      </w:r>
      <w:proofErr w:type="spellEnd"/>
      <w:r w:rsidRPr="00D60F7A">
        <w:rPr>
          <w:rFonts w:ascii="Kristen ITC" w:hAnsi="Kristen ITC"/>
          <w:b/>
          <w:sz w:val="24"/>
          <w:szCs w:val="24"/>
        </w:rPr>
        <w:t xml:space="preserve">, http://ec.europa.eu/justice/data-protection/article-29/documentation/opinionrecommendation/files/2013/wp203_en.pdf, p. 25). 11 Si pensi, ad esempio, ai nominativi del personale ispettivo, o di quello coinvolto in attività istruttorie relative a materie di particolare delicatezza, oppure ancora ai dati relativi agli autori di segnalazioni ed esposti.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Autorità Nazionale Anticorruzione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23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roofErr w:type="gramStart"/>
      <w:r w:rsidRPr="00D60F7A">
        <w:rPr>
          <w:rFonts w:ascii="Kristen ITC" w:hAnsi="Kristen ITC"/>
          <w:b/>
          <w:sz w:val="24"/>
          <w:szCs w:val="24"/>
        </w:rPr>
        <w:t>di</w:t>
      </w:r>
      <w:proofErr w:type="gramEnd"/>
      <w:r w:rsidRPr="00D60F7A">
        <w:rPr>
          <w:rFonts w:ascii="Kristen ITC" w:hAnsi="Kristen ITC"/>
          <w:b/>
          <w:sz w:val="24"/>
          <w:szCs w:val="24"/>
        </w:rPr>
        <w:t xml:space="preserve"> eventuali furti di identità o di creazione di identità fittizie attraverso le quali esercitare attività fraudolente12. Nel valutare l’impatto nei riguardi dell’interessato, vanno tenute in debito conto anche le ragionevoli aspettative di quest’ultimo riguardo al trattamento dei propri dati personali al momento in cui questi sono stati raccolti, ad esempio nel caso in cui le predette conseguenze non erano prevedibili al momento della raccolta dei dati.  Per verificare l’impatto sfavorevole che potrebbe derivare all’interessato dalla conoscibilità da parte di chiunque delle informazioni richieste, l’ente destinatario della richiesta di accesso generalizzato deve far riferimento a diversi parametri, tra i quali, anche la natura dei dati personali oggetto della richiesta di accesso o contenuti nei documenti ai quali di chiede di accedere, nonché il ruolo ricoperto nella vita pubblica, la funzione pubblica esercitata o l’attività di pubblico interesse svolta dalla persona </w:t>
      </w:r>
      <w:r w:rsidRPr="00D60F7A">
        <w:rPr>
          <w:rFonts w:ascii="Kristen ITC" w:hAnsi="Kristen ITC"/>
          <w:b/>
          <w:sz w:val="24"/>
          <w:szCs w:val="24"/>
        </w:rPr>
        <w:lastRenderedPageBreak/>
        <w:t xml:space="preserve">cui si riferiscono i predetti dati. Riguardo al primo profilo, la presenza di dati sensibili13 e/o giudiziari14 può rappresentare un indice della sussistenza del predetto pregiudizio, laddove la conoscenza da parte di chiunque che deriverebbe dall’ostensione di tali informazioni – anche in contesti diversi (familiari e/o sociali) – possa essere fonte di discriminazione o foriera di rischi specifici per l’interessato15. In linea di principio, quindi, andrebbe rifiutato l’accesso generalizzato a tali informazioni, potendo invece valutare diversamente, caso per caso, situazioni particolari quali, ad esempio, quelle in cui le predette informazioni siano state deliberatamente rese note dagli interessati, anche attraverso loro comportamenti in pubblico16. Analoghe considerazioni sull’esistenza del pregiudizio concreto possono essere fatte per quelle categorie di dati personali che, pur non rientrando nella definizione di dati sensibili e giudiziari, richiedono una specifica protezione quando dal loro utilizzo, in relazione alla natura dei dati o alle modalità del trattamento o agli effetti che può determinare, possano derivare rischi specifici per i diritti e le libertà fondamentali degli interessati (si pensi, ad esempio, ai dati genetici, biometrici, di </w:t>
      </w:r>
      <w:proofErr w:type="spellStart"/>
      <w:r w:rsidRPr="00D60F7A">
        <w:rPr>
          <w:rFonts w:ascii="Kristen ITC" w:hAnsi="Kristen ITC"/>
          <w:b/>
          <w:sz w:val="24"/>
          <w:szCs w:val="24"/>
        </w:rPr>
        <w:t>profilazione</w:t>
      </w:r>
      <w:proofErr w:type="spellEnd"/>
      <w:r w:rsidRPr="00D60F7A">
        <w:rPr>
          <w:rFonts w:ascii="Kristen ITC" w:hAnsi="Kristen ITC"/>
          <w:b/>
          <w:sz w:val="24"/>
          <w:szCs w:val="24"/>
        </w:rPr>
        <w:t xml:space="preserve">, sulla localizzazione o sulla solvibilità economica, di cui agli artt. 17 e 37 del Codice). Tra gli altri fattori da tenere in considerazione ai fini della valutazione della sussistenza del pregiudizio in esame, merita rilievo anche la circostanza che la richiesta di accesso generalizzato riguardi dati o documenti contenenti dati personali di soggetti minori, la cui conoscenza può ostacolare il libero sviluppo della loro personalità, in considerazione della particolare tutela dovuta alle fasce deboli17. Riguardo al secondo profilo, va considerato altresì che la sussistenza di un pregiudizio concreto alla protezione dei dati personali può verificarsi con più probabilità per talune particolari informazioni – come ad esempio situazioni personali, familiari, professionali, patrimoniali – di persone fisiche destinatarie dell’attività amministrativa o intervenute a vario titolo nella stessa e che, quindi, non ricoprono necessariamente un ruolo nella vita pubblica o non esercitano funzioni pubbliche o attività di pubblico interesse18. Ciò anche pensando,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12 Si pensi, ad esempio, all’indiscriminata circolazione delle firme autografe, dei dati contenuti nel cedolino dello stipendio che sono utili per accedere a prestiti e finanziamenti, oppure ad alcune informazioni contenute nelle dichiarazioni dei redditi che sono richieste ai fini del rilascio delle credenziali di accesso a servizi fiscali telematici quali la dichiarazione dei redditi precompilata. 13 Ai sensi del d. </w:t>
      </w:r>
      <w:proofErr w:type="spellStart"/>
      <w:r w:rsidRPr="00D60F7A">
        <w:rPr>
          <w:rFonts w:ascii="Kristen ITC" w:hAnsi="Kristen ITC"/>
          <w:b/>
          <w:sz w:val="24"/>
          <w:szCs w:val="24"/>
        </w:rPr>
        <w:t>lgs</w:t>
      </w:r>
      <w:proofErr w:type="spellEnd"/>
      <w:r w:rsidRPr="00D60F7A">
        <w:rPr>
          <w:rFonts w:ascii="Kristen ITC" w:hAnsi="Kristen ITC"/>
          <w:b/>
          <w:sz w:val="24"/>
          <w:szCs w:val="24"/>
        </w:rPr>
        <w:t xml:space="preserve">. n. 196/2003, «dati sensibili» sono </w:t>
      </w:r>
      <w:proofErr w:type="gramStart"/>
      <w:r w:rsidRPr="00D60F7A">
        <w:rPr>
          <w:rFonts w:ascii="Kristen ITC" w:hAnsi="Kristen ITC"/>
          <w:b/>
          <w:sz w:val="24"/>
          <w:szCs w:val="24"/>
        </w:rPr>
        <w:t>« i</w:t>
      </w:r>
      <w:proofErr w:type="gramEnd"/>
      <w:r w:rsidRPr="00D60F7A">
        <w:rPr>
          <w:rFonts w:ascii="Kristen ITC" w:hAnsi="Kristen ITC"/>
          <w:b/>
          <w:sz w:val="24"/>
          <w:szCs w:val="24"/>
        </w:rPr>
        <w:t xml:space="preserve"> dati personali idonei a rivelare l’origine </w:t>
      </w:r>
      <w:r w:rsidRPr="00D60F7A">
        <w:rPr>
          <w:rFonts w:ascii="Kristen ITC" w:hAnsi="Kristen ITC"/>
          <w:b/>
          <w:sz w:val="24"/>
          <w:szCs w:val="24"/>
        </w:rPr>
        <w:lastRenderedPageBreak/>
        <w:t xml:space="preserve">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(art. 4, comma 1, </w:t>
      </w:r>
      <w:proofErr w:type="spellStart"/>
      <w:r w:rsidRPr="00D60F7A">
        <w:rPr>
          <w:rFonts w:ascii="Kristen ITC" w:hAnsi="Kristen ITC"/>
          <w:b/>
          <w:sz w:val="24"/>
          <w:szCs w:val="24"/>
        </w:rPr>
        <w:t>lett</w:t>
      </w:r>
      <w:proofErr w:type="spellEnd"/>
      <w:r w:rsidRPr="00D60F7A">
        <w:rPr>
          <w:rFonts w:ascii="Kristen ITC" w:hAnsi="Kristen ITC"/>
          <w:b/>
          <w:sz w:val="24"/>
          <w:szCs w:val="24"/>
        </w:rPr>
        <w:t xml:space="preserve">. d). 14 Ai sensi del d. </w:t>
      </w:r>
      <w:proofErr w:type="spellStart"/>
      <w:r w:rsidRPr="00D60F7A">
        <w:rPr>
          <w:rFonts w:ascii="Kristen ITC" w:hAnsi="Kristen ITC"/>
          <w:b/>
          <w:sz w:val="24"/>
          <w:szCs w:val="24"/>
        </w:rPr>
        <w:t>lgs</w:t>
      </w:r>
      <w:proofErr w:type="spellEnd"/>
      <w:r w:rsidRPr="00D60F7A">
        <w:rPr>
          <w:rFonts w:ascii="Kristen ITC" w:hAnsi="Kristen ITC"/>
          <w:b/>
          <w:sz w:val="24"/>
          <w:szCs w:val="24"/>
        </w:rPr>
        <w:t xml:space="preserve">. n. 196/2003 «dati giudiziari» sono «i dati personali idonei a rivelare provvedimenti di cui all’articolo 3, comma 1, lettere da a) a o) e da r) a u), del </w:t>
      </w:r>
      <w:proofErr w:type="spellStart"/>
      <w:r w:rsidRPr="00D60F7A">
        <w:rPr>
          <w:rFonts w:ascii="Kristen ITC" w:hAnsi="Kristen ITC"/>
          <w:b/>
          <w:sz w:val="24"/>
          <w:szCs w:val="24"/>
        </w:rPr>
        <w:t>d.P.R.</w:t>
      </w:r>
      <w:proofErr w:type="spellEnd"/>
      <w:r w:rsidRPr="00D60F7A">
        <w:rPr>
          <w:rFonts w:ascii="Kristen ITC" w:hAnsi="Kristen ITC"/>
          <w:b/>
          <w:sz w:val="24"/>
          <w:szCs w:val="24"/>
        </w:rPr>
        <w:t xml:space="preserve"> 14 novembre 2002, n. 313, in materia di casellario giudiziale, di anagrafe delle sanzioni amministrative dipendenti da reato e dei relativi carichi pendenti, o la qualità di imputato o di indagato ai sensi degli articoli 60 e 61 del codice di procedura penale» (art. 4, comma 1, </w:t>
      </w:r>
      <w:proofErr w:type="spellStart"/>
      <w:r w:rsidRPr="00D60F7A">
        <w:rPr>
          <w:rFonts w:ascii="Kristen ITC" w:hAnsi="Kristen ITC"/>
          <w:b/>
          <w:sz w:val="24"/>
          <w:szCs w:val="24"/>
        </w:rPr>
        <w:t>lett</w:t>
      </w:r>
      <w:proofErr w:type="spellEnd"/>
      <w:r w:rsidRPr="00D60F7A">
        <w:rPr>
          <w:rFonts w:ascii="Kristen ITC" w:hAnsi="Kristen ITC"/>
          <w:b/>
          <w:sz w:val="24"/>
          <w:szCs w:val="24"/>
        </w:rPr>
        <w:t xml:space="preserve">. e). 15 Cfr. Parere del Garante per la protezione dei dati personali del 3/3/2016 n. 92, in www.gpdp.it, doc. web n. 4772830; nonché Relazione Illustrativa al Decreto legislativo recante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 in http://www.funzionepubblica.gov.it/sites/funzionepubblica.gov.it/files/Decreto_legislativo_trasparenza.pdf 16 Vedi, ad esempio, il caso delle cariche dirigenziali di partiti, sindacati, associazioni o organizzazioni a carattere religioso, politico o sindacale. 17 Cfr. documenti citati </w:t>
      </w:r>
      <w:proofErr w:type="spellStart"/>
      <w:r w:rsidRPr="00D60F7A">
        <w:rPr>
          <w:rFonts w:ascii="Kristen ITC" w:hAnsi="Kristen ITC"/>
          <w:b/>
          <w:sz w:val="24"/>
          <w:szCs w:val="24"/>
        </w:rPr>
        <w:t>supra</w:t>
      </w:r>
      <w:proofErr w:type="spellEnd"/>
      <w:r w:rsidRPr="00D60F7A">
        <w:rPr>
          <w:rFonts w:ascii="Kristen ITC" w:hAnsi="Kristen ITC"/>
          <w:b/>
          <w:sz w:val="24"/>
          <w:szCs w:val="24"/>
        </w:rPr>
        <w:t xml:space="preserve"> in nota 12. 18 In questo senso, può al contrario ritenersi che, in generale e salvo ogni diversa valutazione nel caso concreto, anche in ragione del contenuto dell’atto, sulla base dei parametri illustrati nelle presenti Linee guida, non osti in linea di principio all’ostensione di un documento la sola presenza, sullo stesso, dell’indicazione nominativa del funzionario o del dirigente che l’ha adottato, essendo la conoscibilità esterna di questi dati personali normalmente connaturata allo svolgimento della funzione pubblica di volta in volta esercitata.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Autorità Nazionale Anticorruzione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24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roofErr w:type="gramStart"/>
      <w:r w:rsidRPr="00D60F7A">
        <w:rPr>
          <w:rFonts w:ascii="Kristen ITC" w:hAnsi="Kristen ITC"/>
          <w:b/>
          <w:sz w:val="24"/>
          <w:szCs w:val="24"/>
        </w:rPr>
        <w:lastRenderedPageBreak/>
        <w:t>come</w:t>
      </w:r>
      <w:proofErr w:type="gramEnd"/>
      <w:r w:rsidRPr="00D60F7A">
        <w:rPr>
          <w:rFonts w:ascii="Kristen ITC" w:hAnsi="Kristen ITC"/>
          <w:b/>
          <w:sz w:val="24"/>
          <w:szCs w:val="24"/>
        </w:rPr>
        <w:t xml:space="preserve"> già visto, alle ragionevoli aspettative di confidenzialità degli interessati riguardo a talune informazioni in possesso dei soggetti destinatari delle istanze di accesso generalizzato o la non prevedibilità delle conseguenze derivanti a questi ultimi dalla conoscibilità da parte di chiunque di tali dati. Tale ragionevole aspettativa di confidenzialità è un elemento che va valutato in ordine a richieste di accesso generalizzato che possono coinvolgere dati personali riferiti a lavoratori o a altri soggetti impiegati a vario titolo presso l’ente destinatario della predetta istanza19.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8.2. Libertà e segretezza della corrispondenza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L’accesso generalizzato è rifiutato se il diniego è necessario per evitare un pregiudizio concreto alla tutela della «libertà e la segretezza della corrispondenza» (art. 5, comma 2-bis, d. </w:t>
      </w:r>
      <w:proofErr w:type="spellStart"/>
      <w:r w:rsidRPr="00D60F7A">
        <w:rPr>
          <w:rFonts w:ascii="Kristen ITC" w:hAnsi="Kristen ITC"/>
          <w:b/>
          <w:sz w:val="24"/>
          <w:szCs w:val="24"/>
        </w:rPr>
        <w:t>lgs</w:t>
      </w:r>
      <w:proofErr w:type="spellEnd"/>
      <w:r w:rsidRPr="00D60F7A">
        <w:rPr>
          <w:rFonts w:ascii="Kristen ITC" w:hAnsi="Kristen ITC"/>
          <w:b/>
          <w:sz w:val="24"/>
          <w:szCs w:val="24"/>
        </w:rPr>
        <w:t xml:space="preserve">. n. 33/2013). Si tratta di una esclusione diretta a garantire la libertà costituzionalmente tutelata dall’art. 15 </w:t>
      </w:r>
      <w:proofErr w:type="spellStart"/>
      <w:r w:rsidRPr="00D60F7A">
        <w:rPr>
          <w:rFonts w:ascii="Kristen ITC" w:hAnsi="Kristen ITC"/>
          <w:b/>
          <w:sz w:val="24"/>
          <w:szCs w:val="24"/>
        </w:rPr>
        <w:t>Cost</w:t>
      </w:r>
      <w:proofErr w:type="spellEnd"/>
      <w:r w:rsidRPr="00D60F7A">
        <w:rPr>
          <w:rFonts w:ascii="Kristen ITC" w:hAnsi="Kristen ITC"/>
          <w:b/>
          <w:sz w:val="24"/>
          <w:szCs w:val="24"/>
        </w:rPr>
        <w:t xml:space="preserve">. </w:t>
      </w:r>
      <w:proofErr w:type="gramStart"/>
      <w:r w:rsidRPr="00D60F7A">
        <w:rPr>
          <w:rFonts w:ascii="Kristen ITC" w:hAnsi="Kristen ITC"/>
          <w:b/>
          <w:sz w:val="24"/>
          <w:szCs w:val="24"/>
        </w:rPr>
        <w:t>che</w:t>
      </w:r>
      <w:proofErr w:type="gramEnd"/>
      <w:r w:rsidRPr="00D60F7A">
        <w:rPr>
          <w:rFonts w:ascii="Kristen ITC" w:hAnsi="Kristen ITC"/>
          <w:b/>
          <w:sz w:val="24"/>
          <w:szCs w:val="24"/>
        </w:rPr>
        <w:t xml:space="preserve"> prevede espressamente come «La libertà e la segretezza della corrispondenza e di ogni altra forma di comunicazione sono inviolabili. La loro limitazione può avvenire soltanto per atto motivato dell’autorità giudiziaria con le garanzie stabilite dalla legge»20.  Tale tutela – che si estende non solo alle persone fisiche, ma anche alle persone giuridiche, enti, associazioni, comitati ecc. – copre le comunicazioni che hanno carattere confidenziale o si riferiscono alla intimità della vita privata21 ed è volta a garantire non solo la segretezza del contenuto della corrispondenza fra soggetti predeterminati, ma anche la più ampia libertà di comunicare reciprocamente, che verrebbe pregiudicata dalla possibilità che soggetti diversi dai destinatari individuati dal mittente possano prendere conoscenza del contenuto della relativa corrispondenza.  Tenuto conto che «la stretta attinenza della libertà e della segretezza della comunicazione al nucleo essenziale dei valori della personalità […] comporta un particolare vincolo interpretativo, diretto a conferire a quella libertà, per quanto possibile, un significato espansivo»22, la nozione di corrispondenza va intesa in senso estensivo a prescindere dal mezzo di trasmissione utilizzato, stante la diffusione delle nuove tecnologie della comunicazione. Tale interpretazione è suffragata anche dalle norme penali a tutela dell’inviolabilità dei segreti che considerano come «corrispondenza» non solo quella epistolare23, ma anche quella telegrafica, telefonica, informatica o telematica24, ovvero quella effettuata con ogni altra forma di comunicazione a distanza (art. 616, comma 4, codice penale)25.  La predetta nozione di corrispondenza comprende, inoltre, sia il contenuto del messaggio, che gli eventuali file allegati, nonché i dati esteriori della comunicazione, </w:t>
      </w:r>
      <w:r w:rsidRPr="00D60F7A">
        <w:rPr>
          <w:rFonts w:ascii="Kristen ITC" w:hAnsi="Kristen ITC"/>
          <w:b/>
          <w:sz w:val="24"/>
          <w:szCs w:val="24"/>
        </w:rPr>
        <w:lastRenderedPageBreak/>
        <w:t xml:space="preserve">quali, ad esempio, l’identità del mittente e del destinatario, l’oggetto, l’ora e la data di spedizione26.   Ciò premesso occorre precisare che, ai fini delle valutazioni in ordine all’individuazione dei casi in cui il diniego all’accesso generalizzato è necessario per evitare un pregiudizio concreto alla tutela della «libertà e la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19 Si pensi, ad esempio, a quelle particolari informazioni contenute a vario titolo nel fascicolo personale del dipendente, fra le quali anche quelle relative alla natura delle infermità e degli impedimenti personali o familiari che causino l’astensione dal lavoro, nonché alle componenti della valutazione o alle notizie concernenti il rapporto di lavoro tra il personale dipendente e l’amministrazione, idonee a rivelare informazioni sensibili. Si pensi ancora alle informazioni relative alla busta paga, ai dati fiscali, al salario, ecc. dei soggetti interessati, in relazione alle quali andrebbe privilegiata l’ostensione delle sole fasce o tabelle stipendiali piuttosto che l’esatto ammontare, considerando che la conoscenza dello stesso, o di dettagli relativi alla situazione economico-patrimoniale, da parte di chiunque potrebbe pregiudicare gli interessi del singolo, ad esempio, in eventuali transazioni o trattative negoziali o legali. 20 Cfr., altresì, l’art. 8 della Convenzione europea per la salvaguardai dei diritti dell’uomo e delle libertà fondamentali, nonché l’art. 7 della Carta dei diritti fondamentali dell’Unione europea. 21 Cfr. art. 93, comma 1, della l. 22/04/1941, n. 633, recante «Protezione del diritto d’autore e di altri diritti connessi al suo esercizio</w:t>
      </w:r>
      <w:proofErr w:type="gramStart"/>
      <w:r w:rsidRPr="00D60F7A">
        <w:rPr>
          <w:rFonts w:ascii="Kristen ITC" w:hAnsi="Kristen ITC"/>
          <w:b/>
          <w:sz w:val="24"/>
          <w:szCs w:val="24"/>
        </w:rPr>
        <w:t>»;  22</w:t>
      </w:r>
      <w:proofErr w:type="gramEnd"/>
      <w:r w:rsidRPr="00D60F7A">
        <w:rPr>
          <w:rFonts w:ascii="Kristen ITC" w:hAnsi="Kristen ITC"/>
          <w:b/>
          <w:sz w:val="24"/>
          <w:szCs w:val="24"/>
        </w:rPr>
        <w:t xml:space="preserve"> Corte </w:t>
      </w:r>
      <w:proofErr w:type="spellStart"/>
      <w:r w:rsidRPr="00D60F7A">
        <w:rPr>
          <w:rFonts w:ascii="Kristen ITC" w:hAnsi="Kristen ITC"/>
          <w:b/>
          <w:sz w:val="24"/>
          <w:szCs w:val="24"/>
        </w:rPr>
        <w:t>Cost</w:t>
      </w:r>
      <w:proofErr w:type="spellEnd"/>
      <w:r w:rsidRPr="00D60F7A">
        <w:rPr>
          <w:rFonts w:ascii="Kristen ITC" w:hAnsi="Kristen ITC"/>
          <w:b/>
          <w:sz w:val="24"/>
          <w:szCs w:val="24"/>
        </w:rPr>
        <w:t xml:space="preserve">. n. 81 del 11/03/1993; cfr. anche, in materia, tra le altre, le sentenze </w:t>
      </w:r>
      <w:proofErr w:type="spellStart"/>
      <w:r w:rsidRPr="00D60F7A">
        <w:rPr>
          <w:rFonts w:ascii="Kristen ITC" w:hAnsi="Kristen ITC"/>
          <w:b/>
          <w:sz w:val="24"/>
          <w:szCs w:val="24"/>
        </w:rPr>
        <w:t>nn</w:t>
      </w:r>
      <w:proofErr w:type="spellEnd"/>
      <w:r w:rsidRPr="00D60F7A">
        <w:rPr>
          <w:rFonts w:ascii="Kristen ITC" w:hAnsi="Kristen ITC"/>
          <w:b/>
          <w:sz w:val="24"/>
          <w:szCs w:val="24"/>
        </w:rPr>
        <w:t xml:space="preserve">. 34 del 1973, 366 del 1991. 23 Per la definizione di corrispondenza epistolare cfr. art. 24 del D.P.R. 29/05/1982, n. 655 recante «Approvazione del regolamento di esecuzione dei libri I e II del codice postale e delle telecomunicazioni (norme generali e servizi delle corrispondenze e dei pacchi)».  24 Cfr. art. 49 del d. </w:t>
      </w:r>
      <w:proofErr w:type="spellStart"/>
      <w:r w:rsidRPr="00D60F7A">
        <w:rPr>
          <w:rFonts w:ascii="Kristen ITC" w:hAnsi="Kristen ITC"/>
          <w:b/>
          <w:sz w:val="24"/>
          <w:szCs w:val="24"/>
        </w:rPr>
        <w:t>lgs</w:t>
      </w:r>
      <w:proofErr w:type="spellEnd"/>
      <w:r w:rsidRPr="00D60F7A">
        <w:rPr>
          <w:rFonts w:ascii="Kristen ITC" w:hAnsi="Kristen ITC"/>
          <w:b/>
          <w:sz w:val="24"/>
          <w:szCs w:val="24"/>
        </w:rPr>
        <w:t xml:space="preserve">. 07/03/2005, n. 82 recante «Codice dell’amministrazione digitale». 25 Cfr. Linee guida del Garante per la protezione dei dati personali per posta elettronica e internet dell’1/3/2007, in G.U. n. 58 del 10 marzo 2007 e in www.gpdp.it, doc. web 1387522. Cfr. anche Provvedimenti del Garante per la protezione dei dati personali del 6 maggio 2013, doc. web n. 2411368; del 24 maggio 2007, doc. web n. 1419749. 26 Cfr. anche Linee guida del Garante per la protezione dei dati personali per posta elettronica e internet, cit. Cfr., altresì, Corte </w:t>
      </w:r>
      <w:proofErr w:type="spellStart"/>
      <w:r w:rsidRPr="00D60F7A">
        <w:rPr>
          <w:rFonts w:ascii="Kristen ITC" w:hAnsi="Kristen ITC"/>
          <w:b/>
          <w:sz w:val="24"/>
          <w:szCs w:val="24"/>
        </w:rPr>
        <w:t>Cost</w:t>
      </w:r>
      <w:proofErr w:type="spellEnd"/>
      <w:r w:rsidRPr="00D60F7A">
        <w:rPr>
          <w:rFonts w:ascii="Kristen ITC" w:hAnsi="Kristen ITC"/>
          <w:b/>
          <w:sz w:val="24"/>
          <w:szCs w:val="24"/>
        </w:rPr>
        <w:t xml:space="preserve">. n. 81/1993, cit.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lastRenderedPageBreak/>
        <w:t xml:space="preserve">Autorità Nazionale Anticorruzione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25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roofErr w:type="gramStart"/>
      <w:r w:rsidRPr="00D60F7A">
        <w:rPr>
          <w:rFonts w:ascii="Kristen ITC" w:hAnsi="Kristen ITC"/>
          <w:b/>
          <w:sz w:val="24"/>
          <w:szCs w:val="24"/>
        </w:rPr>
        <w:t>segretezza</w:t>
      </w:r>
      <w:proofErr w:type="gramEnd"/>
      <w:r w:rsidRPr="00D60F7A">
        <w:rPr>
          <w:rFonts w:ascii="Kristen ITC" w:hAnsi="Kristen ITC"/>
          <w:b/>
          <w:sz w:val="24"/>
          <w:szCs w:val="24"/>
        </w:rPr>
        <w:t xml:space="preserve"> della corrispondenza», l’ente destinatario dell’istanza di accesso generalizzato dovrà tenere in considerazione la natura della stessa, le intenzioni dei soggetti coinvolti nello scambio della corrispondenza e la legittima aspettativa di confidenzialità degli interessati ivi compresi eventuali soggetti terzi citati all’interno della comunicazione. In questa valutazione, poiché nel contesto dello svolgimento delle attività amministrative e di pubblico interesse degli enti destinatari delle richieste di accesso generalizzato, l’utilizzo della corrispondenza (posta, email, fax, ecc.) costituisce la modalità ordinaria di comunicazione, non solo tra i diversi enti, ma anche fra questi e i terzi, per la corretta applicazione del limite previsto dall’art. 5, comma 2-bis, d. </w:t>
      </w:r>
      <w:proofErr w:type="spellStart"/>
      <w:r w:rsidRPr="00D60F7A">
        <w:rPr>
          <w:rFonts w:ascii="Kristen ITC" w:hAnsi="Kristen ITC"/>
          <w:b/>
          <w:sz w:val="24"/>
          <w:szCs w:val="24"/>
        </w:rPr>
        <w:t>lgs</w:t>
      </w:r>
      <w:proofErr w:type="spellEnd"/>
      <w:r w:rsidRPr="00D60F7A">
        <w:rPr>
          <w:rFonts w:ascii="Kristen ITC" w:hAnsi="Kristen ITC"/>
          <w:b/>
          <w:sz w:val="24"/>
          <w:szCs w:val="24"/>
        </w:rPr>
        <w:t xml:space="preserve">. n. 33/2013 non si dovrà necessariamente escludere l’accesso a tutte queste comunicazioni ma soltanto a quelle che, secondo una verifica da operare caso per caso, abbiano effettivamente un carattere confidenziale e privato. Tali caratteristiche, ad esempio, possono essere rinvenute nel caso in cui venga utilizzato l’indirizzo di posta elettronica individuale fornito al personale dall’ente presso il quale svolge la propria attività lavorativa, allorquando l’individualità dell’indirizzo e-mail attribuito al lavoratore e la sua veste esteriore, o altre circostanze del caso, possano essere ritenute tali da determinare una legittima aspettativa di confidenzialità – del mittente, del destinatario o di terzi – rispetto a talune forme di comunicazione (estranee o meno all’attività lavorativa)27.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8.3. Interessi economici e commerciali di una persona fisica o giuridica, ivi compresi proprietà intellettuale, diritto d'autore e segreti commerciali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La previsione dell’art. 5 bis co.2 </w:t>
      </w:r>
      <w:proofErr w:type="spellStart"/>
      <w:r w:rsidRPr="00D60F7A">
        <w:rPr>
          <w:rFonts w:ascii="Kristen ITC" w:hAnsi="Kristen ITC"/>
          <w:b/>
          <w:sz w:val="24"/>
          <w:szCs w:val="24"/>
        </w:rPr>
        <w:t>lett</w:t>
      </w:r>
      <w:proofErr w:type="spellEnd"/>
      <w:r w:rsidRPr="00D60F7A">
        <w:rPr>
          <w:rFonts w:ascii="Kristen ITC" w:hAnsi="Kristen ITC"/>
          <w:b/>
          <w:sz w:val="24"/>
          <w:szCs w:val="24"/>
        </w:rPr>
        <w:t>. c) del decreto trasparenza include nella generica definizione di “interessi economici e commerciali”, tre specifici ambiti tutelati dall’ordinamento e tutti collegati con l’interesse generale di garantire il buon funzionamento delle regole del mercato e della libera concorrenza</w:t>
      </w:r>
      <w:proofErr w:type="gramStart"/>
      <w:r w:rsidRPr="00D60F7A">
        <w:rPr>
          <w:rFonts w:ascii="Kristen ITC" w:hAnsi="Kristen ITC"/>
          <w:b/>
          <w:sz w:val="24"/>
          <w:szCs w:val="24"/>
        </w:rPr>
        <w:t>. .</w:t>
      </w:r>
      <w:proofErr w:type="gramEnd"/>
      <w:r w:rsidRPr="00D60F7A">
        <w:rPr>
          <w:rFonts w:ascii="Kristen ITC" w:hAnsi="Kristen ITC"/>
          <w:b/>
          <w:sz w:val="24"/>
          <w:szCs w:val="24"/>
        </w:rPr>
        <w:t xml:space="preserve"> Il termine "proprietà intellettuale" indica un sistema di tutela giuridica – che si basa sul riconoscimento di diritti esclusivi - di beni immateriali, ossia le creazioni intellettuali, aventi anche rilevanza economica: si tratta dei frutti dell'attività </w:t>
      </w:r>
      <w:r w:rsidRPr="00D60F7A">
        <w:rPr>
          <w:rFonts w:ascii="Kristen ITC" w:hAnsi="Kristen ITC"/>
          <w:b/>
          <w:sz w:val="24"/>
          <w:szCs w:val="24"/>
        </w:rPr>
        <w:lastRenderedPageBreak/>
        <w:t xml:space="preserve">creativa e inventiva umana come, ad esempio, le opere artistiche e letterarie, le invenzioni industriali e i modelli di utilità, il design, i marchi. Al concetto di proprietà intellettuale fanno capo le tre grandi aree del diritto d'autore, del diritto dei brevetti e del diritto dei marchi, questi ultimi ricompresi nel più ampio concetto di proprietà industriale. Il diritto d’autore tutela le opere dell’ingegno di carattere creativo riguardanti le scienze, la letteratura, la musica, le arti figurative, l’architettura, il teatro, la cinematografia, la radiodiffusione e, da ultimo, i programmi per elaboratore e le banche dati, qualunque ne sia il modo o la forma di espressione. La tutela autoriale non soggiace ad alcun onere di deposito, come invece si richiede per le invenzioni industriali. Il contenuto del diritto d’autore si articola in diritto morale e diritto patrimoniale d’autore, disciplinati entrambi dalla l. 633/1941 e successive modifiche e integrazioni (da ultimo, la l. 208/2015 ed il d.lgs. 8/2016); la tutela dei diritti d’autore rientra fra le attività della SIAE, ed è stata oggetto di una serie di convenzioni internazionali, volte a conseguire un regolamento uniforme in materia.  L'Unione europea conduce da diversi anni una politica attiva nel campo della proprietà intellettuale finalizzata all'armonizzazione delle legislazioni nazionali: numerosissime le Convenzioni e le Direttive in materia.  Il diritto di proprietà intellettuale (diritto d'autore) e quello di proprietà industriale (brevetti, know-how, marchi e modelli) e costituiscono risorse fondamentali per qualunque impresa. Il tema del segreto industriale è spesso strettamente collegato con quello del segreto commerciale dal quale non sempre è nettamente distinguibile, sia perché simili sono i problemi che li coinvolgono, sia perché la disciplina ad essi applicabile è comune: infatti, possono essere presenti, nel know-how specifico dell’impresa, aspetti inventivi, tutelabili anche come brevetti. L’idea innovativa può riguardare le diverse fasi dell’attività dell’impresa, la produzione industriale (per esempio un nuovo tipo di procedimento di fabbricazione che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27 Provvedimenti del Garante per la protezione dei dati personali del 2 aprile 2008, doc. web n. 1519703; del 21 gennaio 2010, doc. web n. 1701577.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Autorità Nazionale Anticorruzione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lastRenderedPageBreak/>
        <w:t xml:space="preserve">26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roofErr w:type="gramStart"/>
      <w:r w:rsidRPr="00D60F7A">
        <w:rPr>
          <w:rFonts w:ascii="Kristen ITC" w:hAnsi="Kristen ITC"/>
          <w:b/>
          <w:sz w:val="24"/>
          <w:szCs w:val="24"/>
        </w:rPr>
        <w:t>consenta</w:t>
      </w:r>
      <w:proofErr w:type="gramEnd"/>
      <w:r w:rsidRPr="00D60F7A">
        <w:rPr>
          <w:rFonts w:ascii="Kristen ITC" w:hAnsi="Kristen ITC"/>
          <w:b/>
          <w:sz w:val="24"/>
          <w:szCs w:val="24"/>
        </w:rPr>
        <w:t xml:space="preserve"> l’uso di un prodotto preesistente ma a costi molto inferiori), l’organizzazione aziendale, il modo di effettuare la commercializzazione di un bene o di un servizio e così via. E’ chiaro che l’imprenditore ha interesse non solo ad innovare ma anche a mantenere in suo possesso tale innovazione ossia ad evitare che imprese concorrenti possano copiare la sua invenzione. Egli può assicurarsene l’esclusiva attraverso lo speciale strumento del brevetto industriale o lasciare che la sua invenzione rimanga segreta, magari per un certo lasso di tempo (segreto aziendale). Costituiscono oggetto di tutela (segreti commerciali) le informazioni aziendali e le esperienze </w:t>
      </w:r>
      <w:proofErr w:type="spellStart"/>
      <w:r w:rsidRPr="00D60F7A">
        <w:rPr>
          <w:rFonts w:ascii="Kristen ITC" w:hAnsi="Kristen ITC"/>
          <w:b/>
          <w:sz w:val="24"/>
          <w:szCs w:val="24"/>
        </w:rPr>
        <w:t>tecnicoindustriali</w:t>
      </w:r>
      <w:proofErr w:type="spellEnd"/>
      <w:r w:rsidRPr="00D60F7A">
        <w:rPr>
          <w:rFonts w:ascii="Kristen ITC" w:hAnsi="Kristen ITC"/>
          <w:b/>
          <w:sz w:val="24"/>
          <w:szCs w:val="24"/>
        </w:rPr>
        <w:t xml:space="preserve">, comprese quelle commerciali, quelle relative all'organizzazione, quelle finanziarie, ossia il know-how aziendale, soggette al legittimo controllo del detentore, ove tali informazioni siano segrete, nel senso che non siano, nel loro insieme o nella precisa configurazione e combinazione dei loro elementi, generalmente note o facilmente accessibili agli esperti ed agli operatori del settore; abbiano valore economico in quanto segrete; siano sottoposte, da parte delle persone al cui legittimo controllo sono soggette, a misure da ritenersi ragionevolmente adeguate a mantenerle segrete; riguardino dati relativi a ricerche, prove o altri dati segreti, la cui elaborazione comporti un considerevole impegno ed alla cui presentazione sia subordinata l'autorizzazione dell'immissione in commercio di prodotti chimici, farmaceutici o agricoli implicanti l'uso di sostanze chimiche. Con la recente </w:t>
      </w:r>
      <w:proofErr w:type="gramStart"/>
      <w:r w:rsidRPr="00D60F7A">
        <w:rPr>
          <w:rFonts w:ascii="Kristen ITC" w:hAnsi="Kristen ITC"/>
          <w:b/>
          <w:sz w:val="24"/>
          <w:szCs w:val="24"/>
        </w:rPr>
        <w:t>Direttiva  UE</w:t>
      </w:r>
      <w:proofErr w:type="gramEnd"/>
      <w:r w:rsidRPr="00D60F7A">
        <w:rPr>
          <w:rFonts w:ascii="Kristen ITC" w:hAnsi="Kristen ITC"/>
          <w:b/>
          <w:sz w:val="24"/>
          <w:szCs w:val="24"/>
        </w:rPr>
        <w:t xml:space="preserve"> 2016/943 dell'8 giugno 2016, sono state emanate disposizioni sulla protezione del know-how riservato e delle informazioni commerciali riservate (segreti commerciali) contro l'acquisizione, l'utilizzo e la divulgazione illeciti. La direttiva è volta a garantire il buon funzionamento del mercato interno, e a svolgere un effetto deterrente contro la divulgazione illecita di segreti commerciali, senza minare i diritti e le libertà fondamentali o l'interesse pubblico, in particolare la pubblica sicurezza, la tutela dei consumatori, la sanità pubblica, la tutela dell'ambiente e la mobilità dei lavoratori.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9. Decorrenza della disciplina e aggiornamento delle Linee guida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Secondo quanto previsto nelle presenti Linee guida, a partire dal 23 dicembre 2016, data stabilita da </w:t>
      </w:r>
      <w:proofErr w:type="gramStart"/>
      <w:r w:rsidRPr="00D60F7A">
        <w:rPr>
          <w:rFonts w:ascii="Kristen ITC" w:hAnsi="Kristen ITC"/>
          <w:b/>
          <w:sz w:val="24"/>
          <w:szCs w:val="24"/>
        </w:rPr>
        <w:t>legislatore,  deve</w:t>
      </w:r>
      <w:proofErr w:type="gramEnd"/>
      <w:r w:rsidRPr="00D60F7A">
        <w:rPr>
          <w:rFonts w:ascii="Kristen ITC" w:hAnsi="Kristen ITC"/>
          <w:b/>
          <w:sz w:val="24"/>
          <w:szCs w:val="24"/>
        </w:rPr>
        <w:t xml:space="preserve"> essere data immediata applicazione all’istituto dell’accesso generalizzato, con la valutazione caso per caso delle richieste </w:t>
      </w:r>
      <w:r w:rsidRPr="00D60F7A">
        <w:rPr>
          <w:rFonts w:ascii="Kristen ITC" w:hAnsi="Kristen ITC"/>
          <w:b/>
          <w:sz w:val="24"/>
          <w:szCs w:val="24"/>
        </w:rPr>
        <w:lastRenderedPageBreak/>
        <w:t xml:space="preserve">presentate.  Da ciò discende l’opportunità </w:t>
      </w:r>
      <w:proofErr w:type="gramStart"/>
      <w:r w:rsidRPr="00D60F7A">
        <w:rPr>
          <w:rFonts w:ascii="Kristen ITC" w:hAnsi="Kristen ITC"/>
          <w:b/>
          <w:sz w:val="24"/>
          <w:szCs w:val="24"/>
        </w:rPr>
        <w:t>che:  a</w:t>
      </w:r>
      <w:proofErr w:type="gramEnd"/>
      <w:r w:rsidRPr="00D60F7A">
        <w:rPr>
          <w:rFonts w:ascii="Kristen ITC" w:hAnsi="Kristen ITC"/>
          <w:b/>
          <w:sz w:val="24"/>
          <w:szCs w:val="24"/>
        </w:rPr>
        <w:t xml:space="preserve">) le amministrazioni adottino nel più breve tempo possibile soluzioni organizzative come indicato al §  3.2. </w:t>
      </w:r>
      <w:proofErr w:type="gramStart"/>
      <w:r w:rsidRPr="00D60F7A">
        <w:rPr>
          <w:rFonts w:ascii="Kristen ITC" w:hAnsi="Kristen ITC"/>
          <w:b/>
          <w:sz w:val="24"/>
          <w:szCs w:val="24"/>
        </w:rPr>
        <w:t>al</w:t>
      </w:r>
      <w:proofErr w:type="gramEnd"/>
      <w:r w:rsidRPr="00D60F7A">
        <w:rPr>
          <w:rFonts w:ascii="Kristen ITC" w:hAnsi="Kristen ITC"/>
          <w:b/>
          <w:sz w:val="24"/>
          <w:szCs w:val="24"/>
        </w:rPr>
        <w:t xml:space="preserve"> fine di coordinare la coerenza delle risposte sui diversi tipi di accesso;  b) le amministrazioni adottino una disciplina interna sugli aspetti procedimentali per esercitare l’accesso con i contenuti di cui al § 3.1. c) sia istituito presso ogni amministrazione un registro delle richieste di accesso presentate (per tutte le tipologie di accesso). Le presenti Linee guida costituiscono una prima individuazione delle esclusioni e dei limiti all’accesso generalizzato. Una volta emanate, l’Autorità, ha intenzione di predisporre un monitoraggio sulle decisioni delle amministrazioni sulle richieste di accesso generalizzato; a tal fine l’Autorità raccomanda la realizzazione di una raccolta organizzata delle richieste di accesso, “cd. </w:t>
      </w:r>
      <w:proofErr w:type="gramStart"/>
      <w:r w:rsidRPr="00D60F7A">
        <w:rPr>
          <w:rFonts w:ascii="Kristen ITC" w:hAnsi="Kristen ITC"/>
          <w:b/>
          <w:sz w:val="24"/>
          <w:szCs w:val="24"/>
        </w:rPr>
        <w:t>registro</w:t>
      </w:r>
      <w:proofErr w:type="gramEnd"/>
      <w:r w:rsidRPr="00D60F7A">
        <w:rPr>
          <w:rFonts w:ascii="Kristen ITC" w:hAnsi="Kristen ITC"/>
          <w:b/>
          <w:sz w:val="24"/>
          <w:szCs w:val="24"/>
        </w:rPr>
        <w:t xml:space="preserve"> degli accessi”, che le amministrazioni è auspicabile pubblichino sui propri siti.  Il registro contiene l’elenco delle richieste con l’oggetto e la data e il relativo esito con la data della decisione ed è pubblicato, oscurando i dati personali eventualmente presenti, e tenuto aggiornato almeno ogni sei mesi nella sezione Amministrazione trasparente, “altri contenuti – accesso civico” del sito web istituzionale. Oltre ad essere funzionale per il monitoraggio che l’Autorità intende svolgere sull’accesso generalizzato, la pubblicazione del cd. </w:t>
      </w:r>
      <w:proofErr w:type="gramStart"/>
      <w:r w:rsidRPr="00D60F7A">
        <w:rPr>
          <w:rFonts w:ascii="Kristen ITC" w:hAnsi="Kristen ITC"/>
          <w:b/>
          <w:sz w:val="24"/>
          <w:szCs w:val="24"/>
        </w:rPr>
        <w:t>registro</w:t>
      </w:r>
      <w:proofErr w:type="gramEnd"/>
      <w:r w:rsidRPr="00D60F7A">
        <w:rPr>
          <w:rFonts w:ascii="Kristen ITC" w:hAnsi="Kristen ITC"/>
          <w:b/>
          <w:sz w:val="24"/>
          <w:szCs w:val="24"/>
        </w:rPr>
        <w:t xml:space="preserve"> degli accessi può essere utile per le p.a. che in questo modo rendono noto su quali documenti, dati o informazioni è stato consentito l’accesso in una logica di semplificazione delle attività.   Entro un anno si provvederà ad un aggiornamento delle Linee guida, da adottarsi sempre d’intesa con il Garante per la protezione dei dati personali. L’aggiornamento della Linee guida consentirà di tenere conto delle prassi nel frattempo formatasi con le decisioni delle amministrazioni, ovvero con le decisioni su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Autorità Nazionale Anticorruzione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27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roofErr w:type="gramStart"/>
      <w:r w:rsidRPr="00D60F7A">
        <w:rPr>
          <w:rFonts w:ascii="Kristen ITC" w:hAnsi="Kristen ITC"/>
          <w:b/>
          <w:sz w:val="24"/>
          <w:szCs w:val="24"/>
        </w:rPr>
        <w:t>eventuali</w:t>
      </w:r>
      <w:proofErr w:type="gramEnd"/>
      <w:r w:rsidRPr="00D60F7A">
        <w:rPr>
          <w:rFonts w:ascii="Kristen ITC" w:hAnsi="Kristen ITC"/>
          <w:b/>
          <w:sz w:val="24"/>
          <w:szCs w:val="24"/>
        </w:rPr>
        <w:t xml:space="preserve"> ricorsi amministrativi o giurisdizionali, e di selezionare le tecniche di bilanciamento e le scelte concretamente operate che risulteranno più coerenti </w:t>
      </w:r>
      <w:r w:rsidRPr="00D60F7A">
        <w:rPr>
          <w:rFonts w:ascii="Kristen ITC" w:hAnsi="Kristen ITC"/>
          <w:b/>
          <w:sz w:val="24"/>
          <w:szCs w:val="24"/>
        </w:rPr>
        <w:lastRenderedPageBreak/>
        <w:t xml:space="preserve">rispetto alle indicazioni formulate nelle presenti Linee guida. Tali Linee guida provvederanno ad una più precisa individuazione delle esclusioni disposte dalla legge e alla precisazione degli interessi, pubblici e privati, meritevoli di tutela in caso di accesso generalizzato, così come elencati ai commi 1 e 2 dell’art. 5 bis del d.lgs. n. 33. Qualora nel frattempo fosse adottato il regolamento governativo previsto dal comma 6 dell’art. 24 della legge n. 241 del 1990, finalizzato alla individuazione di esclusioni dall’accesso documentale, esso sarà opportunamente considerato in sede di redazione delle nuove Linee guida, ai fini di una migliore precisazione di tali interessi.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Autorità Nazionale Anticorruzione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28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ALLEGATO.  GUIDA OPERATIVA ALL’ ACCESSO GENERALIZZATO.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TITOLARITÀ, AMBITO DI APPLICAZIONE E </w:t>
      </w:r>
      <w:proofErr w:type="gramStart"/>
      <w:r w:rsidRPr="00D60F7A">
        <w:rPr>
          <w:rFonts w:ascii="Kristen ITC" w:hAnsi="Kristen ITC"/>
          <w:b/>
          <w:sz w:val="24"/>
          <w:szCs w:val="24"/>
        </w:rPr>
        <w:t>OGGETTO  DEL</w:t>
      </w:r>
      <w:proofErr w:type="gramEnd"/>
      <w:r w:rsidRPr="00D60F7A">
        <w:rPr>
          <w:rFonts w:ascii="Kristen ITC" w:hAnsi="Kristen ITC"/>
          <w:b/>
          <w:sz w:val="24"/>
          <w:szCs w:val="24"/>
        </w:rPr>
        <w:t xml:space="preserve"> DIRITTO DI ACCESSO GENERALIZZATO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(1) Chi può presentare richiesta di accesso generalizzato ai sensi dell’art. 5, comma 2 del d. </w:t>
      </w:r>
      <w:proofErr w:type="spellStart"/>
      <w:r w:rsidRPr="00D60F7A">
        <w:rPr>
          <w:rFonts w:ascii="Kristen ITC" w:hAnsi="Kristen ITC"/>
          <w:b/>
          <w:sz w:val="24"/>
          <w:szCs w:val="24"/>
        </w:rPr>
        <w:t>lgs</w:t>
      </w:r>
      <w:proofErr w:type="spellEnd"/>
      <w:r w:rsidRPr="00D60F7A">
        <w:rPr>
          <w:rFonts w:ascii="Kristen ITC" w:hAnsi="Kristen ITC"/>
          <w:b/>
          <w:sz w:val="24"/>
          <w:szCs w:val="24"/>
        </w:rPr>
        <w:t xml:space="preserve">. n. 33/2013? L’accesso generalizzato può essere presentato da chiunque. Infatti, non occorre possedere, né dimostrare, una specifica legittimazione soggettiva, e chiunque può presentare richiesta, anche indipendentemente dall’essere cittadino italiano o residente nel territorio dello Stato.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(2) Qual è l’ambito soggettivo di applicazione del diritto di accesso generalizzato?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Il diritto di accesso generalizzato si applica: 1) a tutte le amministrazioni pubbliche, come esemplificate all’articolo 1, comma 2, del decreto legislativo 30 marzo 2001, n. 165 e successive modificazioni, ivi comprese le autorità portuali, nonché le autorità </w:t>
      </w:r>
      <w:r w:rsidRPr="00D60F7A">
        <w:rPr>
          <w:rFonts w:ascii="Kristen ITC" w:hAnsi="Kristen ITC"/>
          <w:b/>
          <w:sz w:val="24"/>
          <w:szCs w:val="24"/>
        </w:rPr>
        <w:lastRenderedPageBreak/>
        <w:t xml:space="preserve">amministrative indipendenti di garanzia, vigilanza e regolazione 2) agli enti pubblici economici e ordini professionali; 3) alle società in controllo pubblico come definite dal decreto legislativo emanato in attuazione dell’art. 18 della legge 7 agosto 2015, n. 124 (d.lgs. 175/2016 c.d. Testo unico in materia di società a partecipazione pubblica);  4) alle associazioni, fondazioni e enti di diritto privato comunque denominati, anche privi di personalità giuridica, con bilancio superiore a cinquecentomila euro, la cui attività sia finanziata in modo maggioritario per almeno due esercizi finanziari consecutivi nell’ultimo triennio da pubbliche amministrazioni e in cui la totalità dei titolari o dei componenti dell’organo d’amministrazione o di indirizzo sia designata da pubbliche amministrazioni; Il diritto di accesso generalizzato si applica, limitatamente ai dati e ai documenti inerenti all'attività di pubblico interesse disciplinata dal diritto nazionale o dell'Unione europea, anche:  1) alle società in sola partecipazione pubblica come definite dal decreto legislativo emanato in attuazione dell’art. 18 della legge 7 agosto 2015, n. 124 (d.lgs. 175/2016 c.d. Testo unico in materia di società a partecipazione pubblica); 2) alle associazioni, alle fondazioni e agli enti di diritto privato, anche privi di personalità giuridica, con bilancio superiore a cinquecentomila euro, che esercitano funzioni amministrative, attività di produzione di beni e servizi a favore delle amministrazioni pubbliche o di gestione di servizi pubblici.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Autorità Nazionale Anticorruzione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29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Cfr. § 4.1. </w:t>
      </w:r>
      <w:proofErr w:type="gramStart"/>
      <w:r w:rsidRPr="00D60F7A">
        <w:rPr>
          <w:rFonts w:ascii="Kristen ITC" w:hAnsi="Kristen ITC"/>
          <w:b/>
          <w:sz w:val="24"/>
          <w:szCs w:val="24"/>
        </w:rPr>
        <w:t>delle</w:t>
      </w:r>
      <w:proofErr w:type="gramEnd"/>
      <w:r w:rsidRPr="00D60F7A">
        <w:rPr>
          <w:rFonts w:ascii="Kristen ITC" w:hAnsi="Kristen ITC"/>
          <w:b/>
          <w:sz w:val="24"/>
          <w:szCs w:val="24"/>
        </w:rPr>
        <w:t xml:space="preserve"> Linee guida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(3) È necessario motivare la richiesta di accesso generalizzato?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lastRenderedPageBreak/>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Per presentare la richiesta di accesso generalizzato non è necessario fornire una motivazione: tutti i soggetti cui si applica il diritto di accesso generalizzato sono tenuti a prendere in considerazione le richieste di accesso generalizzato, a prescindere dal fatto che queste rechino o meno una motivazione o una </w:t>
      </w:r>
      <w:proofErr w:type="gramStart"/>
      <w:r w:rsidRPr="00D60F7A">
        <w:rPr>
          <w:rFonts w:ascii="Kristen ITC" w:hAnsi="Kristen ITC"/>
          <w:b/>
          <w:sz w:val="24"/>
          <w:szCs w:val="24"/>
        </w:rPr>
        <w:t>giustificazione  a</w:t>
      </w:r>
      <w:proofErr w:type="gramEnd"/>
      <w:r w:rsidRPr="00D60F7A">
        <w:rPr>
          <w:rFonts w:ascii="Kristen ITC" w:hAnsi="Kristen ITC"/>
          <w:b/>
          <w:sz w:val="24"/>
          <w:szCs w:val="24"/>
        </w:rPr>
        <w:t xml:space="preserve"> sostegno della richiesta.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(4) Che cosa si può richiedere con l’accesso generalizzato?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Con la richiesta di accesso generalizzato possono essere richiesti i documenti, dati e informazioni in possesso dell’amministrazione. Ciò significa: </w:t>
      </w:r>
      <w:r w:rsidRPr="00D60F7A">
        <w:rPr>
          <w:rFonts w:ascii="Kristen ITC" w:hAnsi="Kristen ITC"/>
          <w:b/>
          <w:sz w:val="24"/>
          <w:szCs w:val="24"/>
        </w:rPr>
        <w:t xml:space="preserve"> che l’amministrazione non è tenuta a raccogliere informazioni che non sono in suo possesso per rispondere ad una richiesta di accesso generalizzato, ma deve limitarsi a rispondere sulla base dei documenti e delle informazioni  che sono già in suo possesso </w:t>
      </w:r>
      <w:r w:rsidRPr="00D60F7A">
        <w:rPr>
          <w:rFonts w:ascii="Kristen ITC" w:hAnsi="Kristen ITC"/>
          <w:b/>
          <w:sz w:val="24"/>
          <w:szCs w:val="24"/>
        </w:rPr>
        <w:t xml:space="preserve"> che l’amministrazione non è tenuta a rielaborare informazioni in suo possesso, per rispondere ad una richiesta di accesso generalizzato: deve consentire l’accesso ai documenti, ai dati ed alle informazioni così come sono già detenuti, organizzati, gestiti e fruiti.  </w:t>
      </w:r>
      <w:r w:rsidRPr="00D60F7A">
        <w:rPr>
          <w:rFonts w:ascii="Kristen ITC" w:hAnsi="Kristen ITC"/>
          <w:b/>
          <w:sz w:val="24"/>
          <w:szCs w:val="24"/>
        </w:rPr>
        <w:t xml:space="preserve"> </w:t>
      </w:r>
      <w:proofErr w:type="gramStart"/>
      <w:r w:rsidRPr="00D60F7A">
        <w:rPr>
          <w:rFonts w:ascii="Kristen ITC" w:hAnsi="Kristen ITC"/>
          <w:b/>
          <w:sz w:val="24"/>
          <w:szCs w:val="24"/>
        </w:rPr>
        <w:t>che</w:t>
      </w:r>
      <w:proofErr w:type="gramEnd"/>
      <w:r w:rsidRPr="00D60F7A">
        <w:rPr>
          <w:rFonts w:ascii="Kristen ITC" w:hAnsi="Kristen ITC"/>
          <w:b/>
          <w:sz w:val="24"/>
          <w:szCs w:val="24"/>
        </w:rPr>
        <w:t xml:space="preserve"> sono ammissibili, invece, le operazioni di elaborazione che consistono nell’oscuramento dei dati personali presenti nel documento o nell’informazione richiesta, e più in generale nella loro </w:t>
      </w:r>
      <w:proofErr w:type="spellStart"/>
      <w:r w:rsidRPr="00D60F7A">
        <w:rPr>
          <w:rFonts w:ascii="Kristen ITC" w:hAnsi="Kristen ITC"/>
          <w:b/>
          <w:sz w:val="24"/>
          <w:szCs w:val="24"/>
        </w:rPr>
        <w:t>anonimizzazione</w:t>
      </w:r>
      <w:proofErr w:type="spellEnd"/>
      <w:r w:rsidRPr="00D60F7A">
        <w:rPr>
          <w:rFonts w:ascii="Kristen ITC" w:hAnsi="Kristen ITC"/>
          <w:b/>
          <w:sz w:val="24"/>
          <w:szCs w:val="24"/>
        </w:rPr>
        <w:t xml:space="preserve">, qualora ciò sia funzionale a rendere possibile l’accesso La richiesta di accesso generalizzato deve identificare i documenti e i dati richiesti. Ciò </w:t>
      </w:r>
      <w:proofErr w:type="gramStart"/>
      <w:r w:rsidRPr="00D60F7A">
        <w:rPr>
          <w:rFonts w:ascii="Kristen ITC" w:hAnsi="Kristen ITC"/>
          <w:b/>
          <w:sz w:val="24"/>
          <w:szCs w:val="24"/>
        </w:rPr>
        <w:t xml:space="preserve">significa: </w:t>
      </w:r>
      <w:r w:rsidRPr="00D60F7A">
        <w:rPr>
          <w:rFonts w:ascii="Kristen ITC" w:hAnsi="Kristen ITC"/>
          <w:b/>
          <w:sz w:val="24"/>
          <w:szCs w:val="24"/>
        </w:rPr>
        <w:t> che</w:t>
      </w:r>
      <w:proofErr w:type="gramEnd"/>
      <w:r w:rsidRPr="00D60F7A">
        <w:rPr>
          <w:rFonts w:ascii="Kristen ITC" w:hAnsi="Kristen ITC"/>
          <w:b/>
          <w:sz w:val="24"/>
          <w:szCs w:val="24"/>
        </w:rPr>
        <w:t xml:space="preserve"> la richiesta indica i documenti o i dati richiesti, ovvero </w:t>
      </w:r>
      <w:r w:rsidRPr="00D60F7A">
        <w:rPr>
          <w:rFonts w:ascii="Kristen ITC" w:hAnsi="Kristen ITC"/>
          <w:b/>
          <w:sz w:val="24"/>
          <w:szCs w:val="24"/>
        </w:rPr>
        <w:t xml:space="preserve"> che la richiesta consente all’amministrazione di identificare agevolmente i documenti o i dati richiesti. Devono essere ritenute inammissibili le richieste formulate in modo così vago da non permettere all’amministrazione di identificare i documenti o le informazioni richieste. In questi casi, l’amministrazione destinataria della domanda dovrebbe chiedere di precisare l’oggetto della richiesta.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Cfr. § 4.2. </w:t>
      </w:r>
      <w:proofErr w:type="gramStart"/>
      <w:r w:rsidRPr="00D60F7A">
        <w:rPr>
          <w:rFonts w:ascii="Kristen ITC" w:hAnsi="Kristen ITC"/>
          <w:b/>
          <w:sz w:val="24"/>
          <w:szCs w:val="24"/>
        </w:rPr>
        <w:t>delle</w:t>
      </w:r>
      <w:proofErr w:type="gramEnd"/>
      <w:r w:rsidRPr="00D60F7A">
        <w:rPr>
          <w:rFonts w:ascii="Kristen ITC" w:hAnsi="Kristen ITC"/>
          <w:b/>
          <w:sz w:val="24"/>
          <w:szCs w:val="24"/>
        </w:rPr>
        <w:t xml:space="preserve"> Line guida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(5) Richieste massive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lastRenderedPageBreak/>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L’amministrazione è tenuta a consentire l’accesso generalizzato anche quando riguarda un numero cospicuo di documenti ed informazioni, a meno che la richiesta risulti manifestamente irragionevole, tale cioè da comportare un carico di lavoro in grado di interferire con il buon funzionamento dell’amministrazione. Tali circostanze, adeguatamente motivate nel provvedimento di rifiuto, devono essere individuate secondo un criterio di stretta interpretazione, ed in presenza di oggettive condizioni suscettibili di pregiudicare in modo serio ed immediato il buon funzionamento dell’amministrazione.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Autorità Nazionale Anticorruzione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30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(2) IL PROCEDIMENTO DI ACCESSO GENERALIZZATO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(6) A quale ufficio va presentata la richiesta di accesso generalizzato?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La richiesta di accesso generalizzato può essere presentata, alternativamente: 1) all'ufficio che detiene i dati, le informazioni o i documenti; 2) all'Ufficio relazioni con il </w:t>
      </w:r>
      <w:proofErr w:type="gramStart"/>
      <w:r w:rsidRPr="00D60F7A">
        <w:rPr>
          <w:rFonts w:ascii="Kristen ITC" w:hAnsi="Kristen ITC"/>
          <w:b/>
          <w:sz w:val="24"/>
          <w:szCs w:val="24"/>
        </w:rPr>
        <w:t>pubblico;  3</w:t>
      </w:r>
      <w:proofErr w:type="gramEnd"/>
      <w:r w:rsidRPr="00D60F7A">
        <w:rPr>
          <w:rFonts w:ascii="Kristen ITC" w:hAnsi="Kristen ITC"/>
          <w:b/>
          <w:sz w:val="24"/>
          <w:szCs w:val="24"/>
        </w:rPr>
        <w:t xml:space="preserve">) ad altro ufficio, che l'amministrazione abbia indicato nella sezione "Amministrazione trasparente" – “Altri contenuti –Accesso civico” del sito istituzionale.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(7) Come si fa a presentare l’istanza di accesso generalizzato?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lastRenderedPageBreak/>
        <w:t xml:space="preserve">Ai sensi del comma 3 dell’art. 5 del d. </w:t>
      </w:r>
      <w:proofErr w:type="spellStart"/>
      <w:r w:rsidRPr="00D60F7A">
        <w:rPr>
          <w:rFonts w:ascii="Kristen ITC" w:hAnsi="Kristen ITC"/>
          <w:b/>
          <w:sz w:val="24"/>
          <w:szCs w:val="24"/>
        </w:rPr>
        <w:t>lgs</w:t>
      </w:r>
      <w:proofErr w:type="spellEnd"/>
      <w:r w:rsidRPr="00D60F7A">
        <w:rPr>
          <w:rFonts w:ascii="Kristen ITC" w:hAnsi="Kristen ITC"/>
          <w:b/>
          <w:sz w:val="24"/>
          <w:szCs w:val="24"/>
        </w:rPr>
        <w:t xml:space="preserve">. n. 33/2013, l’istanza può essere trasmessa per via telematica secondo le modalità previste dal decreto legislativo 7 marzo 2005, n. 82 recante il «Codice dell’amministrazione digitale» (CAD).  Tra queste modalità, l’amministrazione o l’ente è opportuno privilegi quella meno onerosa per chi presenta l’istanza.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Ai sensi dell’art. 65, co. 1 </w:t>
      </w:r>
      <w:proofErr w:type="spellStart"/>
      <w:r w:rsidRPr="00D60F7A">
        <w:rPr>
          <w:rFonts w:ascii="Kristen ITC" w:hAnsi="Kristen ITC"/>
          <w:b/>
          <w:sz w:val="24"/>
          <w:szCs w:val="24"/>
        </w:rPr>
        <w:t>lett</w:t>
      </w:r>
      <w:proofErr w:type="spellEnd"/>
      <w:r w:rsidRPr="00D60F7A">
        <w:rPr>
          <w:rFonts w:ascii="Kristen ITC" w:hAnsi="Kristen ITC"/>
          <w:b/>
          <w:sz w:val="24"/>
          <w:szCs w:val="24"/>
        </w:rPr>
        <w:t xml:space="preserve">. c) del CAD, le richieste presentate per via telematica alle pubbliche amministrazioni e ai gestori dei servizi pubblici sono valide anche se sottoscritte e presentate unitamente alla copia del documento d’identità.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Resta fermo che l’istanza può essere presentata anche a mezzo posta, fax o direttamente presso gli uffici indicati dall’art. 5, comma 3, del d. </w:t>
      </w:r>
      <w:proofErr w:type="spellStart"/>
      <w:r w:rsidRPr="00D60F7A">
        <w:rPr>
          <w:rFonts w:ascii="Kristen ITC" w:hAnsi="Kristen ITC"/>
          <w:b/>
          <w:sz w:val="24"/>
          <w:szCs w:val="24"/>
        </w:rPr>
        <w:t>lgs</w:t>
      </w:r>
      <w:proofErr w:type="spellEnd"/>
      <w:r w:rsidRPr="00D60F7A">
        <w:rPr>
          <w:rFonts w:ascii="Kristen ITC" w:hAnsi="Kristen ITC"/>
          <w:b/>
          <w:sz w:val="24"/>
          <w:szCs w:val="24"/>
        </w:rPr>
        <w:t xml:space="preserve">. n. 33/2013, e che laddove la richiesta di accesso generalizzato non sia sottoscritta dall’interessato in presenza del dipendente addetto, la stessa debba essere sottoscritta e presentata unitamente a copia fotostatica non autenticata di un documento di identità del sottoscrittore, che va inserita nel fascicolo (cfr. art. 38, commi 1 e 3, del </w:t>
      </w:r>
      <w:proofErr w:type="spellStart"/>
      <w:r w:rsidRPr="00D60F7A">
        <w:rPr>
          <w:rFonts w:ascii="Kristen ITC" w:hAnsi="Kristen ITC"/>
          <w:b/>
          <w:sz w:val="24"/>
          <w:szCs w:val="24"/>
        </w:rPr>
        <w:t>d.P.R.</w:t>
      </w:r>
      <w:proofErr w:type="spellEnd"/>
      <w:r w:rsidRPr="00D60F7A">
        <w:rPr>
          <w:rFonts w:ascii="Kristen ITC" w:hAnsi="Kristen ITC"/>
          <w:b/>
          <w:sz w:val="24"/>
          <w:szCs w:val="24"/>
        </w:rPr>
        <w:t xml:space="preserve"> 28 dicembre 2000, n. 445).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(8) Bisogna pagare per poter effettuare l’accesso generalizzato?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Il rilascio di dati o documenti in formato elettronico, in risposta alla richiesta di accesso generalizzato, è gratuito.  Quando l’amministrazione risponde alla richiesta di accesso generalizzato mediante il rilascio di documenti ed informazioni in formato cartaceo, può richiedere il rimborso dei soli costi effettivamente sostenuti e documentati per la riproduzione su supporti materiali. È da preferire il rilascio dei documenti e dei dati in formato elettronico quando il rilascio dei documenti o dei dati in formato elettronico è indicato dal richiedente, nei </w:t>
      </w:r>
      <w:proofErr w:type="gramStart"/>
      <w:r w:rsidRPr="00D60F7A">
        <w:rPr>
          <w:rFonts w:ascii="Kristen ITC" w:hAnsi="Kristen ITC"/>
          <w:b/>
          <w:sz w:val="24"/>
          <w:szCs w:val="24"/>
        </w:rPr>
        <w:t>limiti  in</w:t>
      </w:r>
      <w:proofErr w:type="gramEnd"/>
      <w:r w:rsidRPr="00D60F7A">
        <w:rPr>
          <w:rFonts w:ascii="Kristen ITC" w:hAnsi="Kristen ITC"/>
          <w:b/>
          <w:sz w:val="24"/>
          <w:szCs w:val="24"/>
        </w:rPr>
        <w:t xml:space="preserve"> cui tale modalità risulti comunque agevole per l’amministrazione che detiene di dati.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(9) L’amministrazione o l’ente destinatario dell’istanza è obbligato a darne comunicazione a eventuali soggetti controinteressati?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lastRenderedPageBreak/>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Laddove la richiesta di accesso generalizzato possa incidere su interessi connessi alla protezione dei dati personali, o alla libertà e segretezza della corrispondenza oppure agli interessi economici e commerciali (ivi compresi la proprietà intellettuale, il diritto d’autore e i segreti commerciali), l’ente destinatario della richiesta di accesso deve darne comunicazione ai soggetti titolari di tali interessi, mediante invio di copia con raccomandata con avviso di ricevimento (o per via telematica per coloro che abbiano consentito tale forma di comunicazione).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Autorità Nazionale Anticorruzione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31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Il soggetto controinteressato può presentare (anche per via telematica) una eventuale e motivata opposizione all’istanza di accesso generalizzato, entro dieci giorni dalla ricezione della comunicazione della richiesta di accesso generalizzato. Decorso tale termine, l’amministrazione provvede sulla richiesta di accesso generalizzato, accertata la ricezione della comunicazione da parte del controinteressato.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(10)  Quanto tempo ha l’amministrazione per rispondere alle richieste di accesso generalizzato?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Il procedimento di accesso generalizzato deve concludersi con provvedimento espresso e motivato nel termine di trenta giorni dalla presentazione dell’istanza, con la comunicazione dell’esito al richiedente e agli eventuali controinteressati. Tali termini sono sospesi (fino ad un massimo di dieci giorni) nel caso di comunicazione della richiesta al controinteressato.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lastRenderedPageBreak/>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(11) I diritti procedimentali dei controinteressati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Quando la richiesta di accesso generalizzato riguarda documenti o dati la cui divulgazione può comportare un pregiudizio ad uno degli interessi individuati dall’art. 5-bis, comma 2, se l’amministrazione individua dei privati controinteressati comunica loro la richiesta. Entro dieci giorni, i controinteressati possono presentare una motivata opposizione alla richiesta di accesso.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(12)  Accoglimento della richiesta di accesso generalizzato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In caso di accoglimento, l’amministrazione provvede a trasmettere tempestivamente al richiedente i dati o i documenti richiesti. Nel caso in cui l’accesso sia consentito nonostante l’opposizione del controinteressato, i dati o i documenti richiesti possono essere trasmessi al richiedente non prima di quindici giorni dalla ricezione della stessa comunicazione da parte del controinteressato.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Autorità Nazionale Anticorruzione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32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(13)  La motivazione del provvedimento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lastRenderedPageBreak/>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Il provvedimento di rifiuto adottato in applicazione dei limiti di cui all’art. 5 bis, commi 1 e 2 contiene una adeguata motivazione che dà conto della sussistenza degli elementi che integrano l’esistenza del pregiudizio concreto. Va parimenti motivato adeguatamente il provvedimento di rifiuto adottato in applicazione delle esclusioni di cui all’art. 5-bis, co. 3. Anche il provvedimento di accoglimento contiene una adeguata motivazione che dà conto della insussistenza di uno o più elementi che integrano l’esistenza del pregiudizio concreto, specie quando è adottato nonostante l'opposizione del controinteressato.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Cfr. § 5.3 delle Linee guida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Autorità Nazionale Anticorruzione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33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(3) LA TUTELA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(14)  Come può tutelarsi il richiedente in caso di rifiuto o di mancata risposta da parte dell’amministrazione?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In caso di diniego totale o parziale dell’accesso o di mancata risposta entro il termine indicato dal comma 6 del d. </w:t>
      </w:r>
      <w:proofErr w:type="spellStart"/>
      <w:r w:rsidRPr="00D60F7A">
        <w:rPr>
          <w:rFonts w:ascii="Kristen ITC" w:hAnsi="Kristen ITC"/>
          <w:b/>
          <w:sz w:val="24"/>
          <w:szCs w:val="24"/>
        </w:rPr>
        <w:t>lgs</w:t>
      </w:r>
      <w:proofErr w:type="spellEnd"/>
      <w:r w:rsidRPr="00D60F7A">
        <w:rPr>
          <w:rFonts w:ascii="Kristen ITC" w:hAnsi="Kristen ITC"/>
          <w:b/>
          <w:sz w:val="24"/>
          <w:szCs w:val="24"/>
        </w:rPr>
        <w:t xml:space="preserve">. n. 33/2013, il richiedente può presentare richiesta di riesame al responsabile della prevenzione della corruzione e della trasparenza, che decide con provvedimento motivato, entro il termine di venti giorni.  In alternativa, laddove si tratti di atti delle amministrazioni delle regioni o </w:t>
      </w:r>
      <w:r w:rsidRPr="00D60F7A">
        <w:rPr>
          <w:rFonts w:ascii="Kristen ITC" w:hAnsi="Kristen ITC"/>
          <w:b/>
          <w:sz w:val="24"/>
          <w:szCs w:val="24"/>
        </w:rPr>
        <w:lastRenderedPageBreak/>
        <w:t xml:space="preserve">degli enti locali, il richiedente può presentare ricorso al difensore civico competente per ambito territoriale (qualora tale organo non sia stato istituito, la competenza è attribuita al difensore civico competente, per l’ambito territoriale immediatamente superiore, se presente). In tal caso, il ricorso deve comunque essere notificato anche all’amministrazione interessata. È previsto che il difensore civico si pronunci entro trenta giorni dalla presentazione del ricorso e che se il difensore civico ritiene illegittimo il diniego o il differimento, ne debba informare il richiedente e comunicarlo all’amministrazione competente. Se questa non conferma il diniego o il differimento entro trenta giorni dal ricevimento della comunicazione del difensore civico, l’accesso è consentito. In ogni caso, a fronte del rifiuto espresso, del differimento o dell’inerzia dell’amministrazione, il richiedente può attivare la tutela giurisdizionale davanti al giudice amministrativo, ai sensi dell'articolo 116 del Codice del processo amministrativo.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(15)  L’ente destinatario della richiesta di accesso generalizzato può chiedere un parere al Garante per la protezione dei dati personali?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È previsto che il Garante per la protezione dei dati personali sia sentito solo dal responsabile della prevenzione della corruzione nel caso di richiesta di riesame e dal difensore civico nel caso di ricorso laddove l’accesso generalizzato sia stato negato o differito per motivi attinenti la tutela della «protezione dei dati personali, in conformità con la disciplina legislativa in materia» (art. 5-bis, comma 2, </w:t>
      </w:r>
      <w:proofErr w:type="spellStart"/>
      <w:r w:rsidRPr="00D60F7A">
        <w:rPr>
          <w:rFonts w:ascii="Kristen ITC" w:hAnsi="Kristen ITC"/>
          <w:b/>
          <w:sz w:val="24"/>
          <w:szCs w:val="24"/>
        </w:rPr>
        <w:t>lett</w:t>
      </w:r>
      <w:proofErr w:type="spellEnd"/>
      <w:r w:rsidRPr="00D60F7A">
        <w:rPr>
          <w:rFonts w:ascii="Kristen ITC" w:hAnsi="Kristen ITC"/>
          <w:b/>
          <w:sz w:val="24"/>
          <w:szCs w:val="24"/>
        </w:rPr>
        <w:t xml:space="preserve">. a, d. </w:t>
      </w:r>
      <w:proofErr w:type="spellStart"/>
      <w:r w:rsidRPr="00D60F7A">
        <w:rPr>
          <w:rFonts w:ascii="Kristen ITC" w:hAnsi="Kristen ITC"/>
          <w:b/>
          <w:sz w:val="24"/>
          <w:szCs w:val="24"/>
        </w:rPr>
        <w:t>lgs</w:t>
      </w:r>
      <w:proofErr w:type="spellEnd"/>
      <w:r w:rsidRPr="00D60F7A">
        <w:rPr>
          <w:rFonts w:ascii="Kristen ITC" w:hAnsi="Kristen ITC"/>
          <w:b/>
          <w:sz w:val="24"/>
          <w:szCs w:val="24"/>
        </w:rPr>
        <w:t xml:space="preserve">. n. 33/2013). In tali ipotesi, il Garante si pronuncia entro il termine di dieci giorni dalla richiesta, durante i quali il termine per l’adozione del provvedimento da parte del responsabile della prevenzione della corruzione o per la pronuncia del difensore civico sono sospesi.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(16) Quali sono i rimedi previsti per i controinteressati nel caso di accoglimento dell’istanza da parte dell’amministrazione o dell’ente, nonostante l’opposizione presentata?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Ai sensi del co. 9 dell’art. 5 del d.lgs. 33/2013, nei casi di accoglimento della richiesta, </w:t>
      </w:r>
      <w:r w:rsidRPr="00D60F7A">
        <w:rPr>
          <w:rFonts w:ascii="Kristen ITC" w:hAnsi="Kristen ITC"/>
          <w:b/>
          <w:sz w:val="24"/>
          <w:szCs w:val="24"/>
        </w:rPr>
        <w:lastRenderedPageBreak/>
        <w:t xml:space="preserve">il controinteressato può presentare richiesta di riesame al Responsabile per la prevenzione della corruzione e della trasparenza (RPCT) e, per i soli atti di Regioni ed enti locali, ricorso al difensore civico. Avverso la decisione dell’ente o dell’amministrazione ovvero a quella del RPCT dell’amministrazione o dell’ente o a quella del difensore civico, il controinteressato può proporre ricorso al TAR ai sensi dell’art. 116 del d.lgs. 104/2010 sul codice del processo amministrativo.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Autorità Nazionale Anticorruzione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34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(17)   Entro quali termini si pronuncia il RPCT sulla richiesta di riesame?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Il RPCT decide con provvedimento motivato, entro il termine di venti giorni dall’istanza di riesame. Il termine è sospeso qualora il RPCT senta il Garante per la protezione dei dati personali se l’accesso è stato negato o differito a tutela degli interessi di cui all’art. 5 bis co. 2 </w:t>
      </w:r>
      <w:proofErr w:type="spellStart"/>
      <w:r w:rsidRPr="00D60F7A">
        <w:rPr>
          <w:rFonts w:ascii="Kristen ITC" w:hAnsi="Kristen ITC"/>
          <w:b/>
          <w:sz w:val="24"/>
          <w:szCs w:val="24"/>
        </w:rPr>
        <w:t>lett</w:t>
      </w:r>
      <w:proofErr w:type="spellEnd"/>
      <w:r w:rsidRPr="00D60F7A">
        <w:rPr>
          <w:rFonts w:ascii="Kristen ITC" w:hAnsi="Kristen ITC"/>
          <w:b/>
          <w:sz w:val="24"/>
          <w:szCs w:val="24"/>
        </w:rPr>
        <w:t xml:space="preserve">. a) (relativi alla protezione dei dati personali). Il Garante si pronuncia entro 10 giorni dalla richiesta.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Gli stessi termini valgono nel caso la richiesta di riesame sia avanzata dal controinteressato in caso di accoglimento dell’istanza nonostante la sua opposizione.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(18)  Quale è il procedimento da seguire davanti al difensore civico?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Laddove si tratti di atti delle amministrazioni delle regioni o degli enti locali, il richiedente o il controinteressato può presentare ricorso al difensore civico competente per ambito territoriale (qualora tale organo non sia stato istituito, la competenza è attribuita al difensore civico competente per l’ambito territoriale </w:t>
      </w:r>
      <w:r w:rsidRPr="00D60F7A">
        <w:rPr>
          <w:rFonts w:ascii="Kristen ITC" w:hAnsi="Kristen ITC"/>
          <w:b/>
          <w:sz w:val="24"/>
          <w:szCs w:val="24"/>
        </w:rPr>
        <w:lastRenderedPageBreak/>
        <w:t xml:space="preserve">immediatamente superiore). In tal caso, il ricorso deve comunque essere notificato anche all’amministrazione interessata. La norma (art. 5 co 8) prevede che il difensore civico si pronunci entro trenta giorni dalla presentazione del ricorso. Il termine è sospeso qualora il difensore civico senta il Garante per la protezione dei dati personali se l’accesso è stato negato o differito a tutela degli interessi di cui all’art. 5 bis co. 2 </w:t>
      </w:r>
      <w:proofErr w:type="spellStart"/>
      <w:r w:rsidRPr="00D60F7A">
        <w:rPr>
          <w:rFonts w:ascii="Kristen ITC" w:hAnsi="Kristen ITC"/>
          <w:b/>
          <w:sz w:val="24"/>
          <w:szCs w:val="24"/>
        </w:rPr>
        <w:t>lett</w:t>
      </w:r>
      <w:proofErr w:type="spellEnd"/>
      <w:r w:rsidRPr="00D60F7A">
        <w:rPr>
          <w:rFonts w:ascii="Kristen ITC" w:hAnsi="Kristen ITC"/>
          <w:b/>
          <w:sz w:val="24"/>
          <w:szCs w:val="24"/>
        </w:rPr>
        <w:t xml:space="preserve">. a) (relativi alla protezione dei dati personali). Il Garante si pronuncia entro 10 giorni dalla richiesta.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Se il difensore civico ritiene illegittimo il diniego o il differimento, deve informarne il richiedente e darne comunicazione all’amministrazione competente. Se questa non conferma il diniego o il differimento entro trenta giorni dal ricevimento della comunicazione del difensore civico, l’accesso è consentito.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(19) È possibile in ogni caso ricorrere al giudice?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 xml:space="preserve"> </w:t>
      </w:r>
    </w:p>
    <w:p w:rsidR="00D60F7A" w:rsidRPr="00D60F7A" w:rsidRDefault="00D60F7A" w:rsidP="00D60F7A">
      <w:pPr>
        <w:widowControl w:val="0"/>
        <w:autoSpaceDE w:val="0"/>
        <w:autoSpaceDN w:val="0"/>
        <w:adjustRightInd w:val="0"/>
        <w:spacing w:after="240"/>
        <w:jc w:val="both"/>
        <w:rPr>
          <w:rFonts w:ascii="Kristen ITC" w:hAnsi="Kristen ITC"/>
          <w:b/>
          <w:sz w:val="24"/>
          <w:szCs w:val="24"/>
        </w:rPr>
      </w:pPr>
      <w:r w:rsidRPr="00D60F7A">
        <w:rPr>
          <w:rFonts w:ascii="Kristen ITC" w:hAnsi="Kristen ITC"/>
          <w:b/>
          <w:sz w:val="24"/>
          <w:szCs w:val="24"/>
        </w:rPr>
        <w:t>La normativa prevede che si può impugnare la decisione dell’amministrazione competente o, in caso di richiesta di riesame, la decisione del responsabile della prevenzione della corruzione e della trasparenza, di fronte al Tribunale amministrativo regionale ai sensi dell’articolo 116 del Codice del processo ammin</w:t>
      </w:r>
      <w:r w:rsidR="00423807">
        <w:rPr>
          <w:rFonts w:ascii="Kristen ITC" w:hAnsi="Kristen ITC"/>
          <w:b/>
          <w:sz w:val="24"/>
          <w:szCs w:val="24"/>
        </w:rPr>
        <w:t>istrativo di cui al decreto legislativo 2 luglio 2010 n. 104.</w:t>
      </w:r>
    </w:p>
    <w:p w:rsidR="00D60F7A" w:rsidRDefault="00D60F7A" w:rsidP="00B934F9">
      <w:pPr>
        <w:pStyle w:val="NormaleWeb"/>
        <w:spacing w:before="0" w:beforeAutospacing="0" w:after="0" w:afterAutospacing="0"/>
        <w:jc w:val="both"/>
        <w:rPr>
          <w:rFonts w:ascii="Kristen ITC" w:eastAsia="Times New Roman" w:hAnsi="Kristen ITC"/>
          <w:sz w:val="24"/>
          <w:szCs w:val="24"/>
        </w:rPr>
      </w:pPr>
    </w:p>
    <w:p w:rsidR="00D60F7A" w:rsidRDefault="00D60F7A" w:rsidP="00B934F9">
      <w:pPr>
        <w:pStyle w:val="NormaleWeb"/>
        <w:spacing w:before="0" w:beforeAutospacing="0" w:after="0" w:afterAutospacing="0"/>
        <w:jc w:val="both"/>
        <w:rPr>
          <w:rFonts w:ascii="Kristen ITC" w:eastAsia="Times New Roman" w:hAnsi="Kristen ITC"/>
          <w:sz w:val="24"/>
          <w:szCs w:val="24"/>
        </w:rPr>
      </w:pPr>
    </w:p>
    <w:p w:rsidR="00D60F7A" w:rsidRDefault="00D60F7A" w:rsidP="00B934F9">
      <w:pPr>
        <w:pStyle w:val="NormaleWeb"/>
        <w:spacing w:before="0" w:beforeAutospacing="0" w:after="0" w:afterAutospacing="0"/>
        <w:jc w:val="both"/>
        <w:rPr>
          <w:rFonts w:ascii="Kristen ITC" w:eastAsia="Times New Roman" w:hAnsi="Kristen ITC"/>
          <w:sz w:val="24"/>
          <w:szCs w:val="24"/>
        </w:rPr>
      </w:pPr>
    </w:p>
    <w:p w:rsidR="00D60F7A" w:rsidRPr="00D60F7A" w:rsidRDefault="00D60F7A" w:rsidP="00B934F9">
      <w:pPr>
        <w:pStyle w:val="NormaleWeb"/>
        <w:spacing w:before="0" w:beforeAutospacing="0" w:after="0" w:afterAutospacing="0"/>
        <w:jc w:val="both"/>
        <w:rPr>
          <w:rFonts w:ascii="Kristen ITC" w:eastAsia="Times New Roman" w:hAnsi="Kristen ITC"/>
          <w:b/>
          <w:sz w:val="24"/>
          <w:szCs w:val="24"/>
        </w:rPr>
      </w:pPr>
      <w:r w:rsidRPr="00D60F7A">
        <w:rPr>
          <w:rFonts w:ascii="Kristen ITC" w:eastAsia="Times New Roman" w:hAnsi="Kristen ITC"/>
          <w:b/>
          <w:sz w:val="24"/>
          <w:szCs w:val="24"/>
        </w:rPr>
        <w:t xml:space="preserve">SOCIETA’ Partecipate </w:t>
      </w:r>
    </w:p>
    <w:p w:rsidR="00D60F7A" w:rsidRDefault="00D60F7A" w:rsidP="00B934F9">
      <w:pPr>
        <w:pStyle w:val="NormaleWeb"/>
        <w:spacing w:before="0" w:beforeAutospacing="0" w:after="0" w:afterAutospacing="0"/>
        <w:jc w:val="both"/>
        <w:rPr>
          <w:rFonts w:ascii="Kristen ITC" w:eastAsia="Times New Roman" w:hAnsi="Kristen ITC"/>
          <w:sz w:val="24"/>
          <w:szCs w:val="24"/>
        </w:rPr>
      </w:pPr>
    </w:p>
    <w:p w:rsidR="00B934F9" w:rsidRPr="00A55B8B" w:rsidRDefault="00B934F9" w:rsidP="00B934F9">
      <w:pPr>
        <w:pStyle w:val="NormaleWeb"/>
        <w:spacing w:before="0" w:beforeAutospacing="0" w:after="0" w:afterAutospacing="0"/>
        <w:jc w:val="both"/>
        <w:rPr>
          <w:rFonts w:ascii="Kristen ITC" w:eastAsia="Times New Roman" w:hAnsi="Kristen ITC"/>
          <w:sz w:val="24"/>
          <w:szCs w:val="24"/>
        </w:rPr>
      </w:pPr>
      <w:r w:rsidRPr="00A55B8B">
        <w:rPr>
          <w:rFonts w:ascii="Kristen ITC" w:eastAsia="Times New Roman" w:hAnsi="Kristen ITC"/>
          <w:sz w:val="24"/>
          <w:szCs w:val="24"/>
        </w:rPr>
        <w:t xml:space="preserve">L’ambito soggettivo di applicazione della normativa in materia di prevenzione della corruzione e di quella in materia di trasparenza alle </w:t>
      </w:r>
      <w:proofErr w:type="spellStart"/>
      <w:r w:rsidRPr="00A55B8B">
        <w:rPr>
          <w:rFonts w:ascii="Kristen ITC" w:eastAsia="Times New Roman" w:hAnsi="Kristen ITC"/>
          <w:sz w:val="24"/>
          <w:szCs w:val="24"/>
        </w:rPr>
        <w:t>societa</w:t>
      </w:r>
      <w:proofErr w:type="spellEnd"/>
      <w:r w:rsidRPr="00A55B8B">
        <w:rPr>
          <w:rFonts w:ascii="Kristen ITC" w:eastAsia="Times New Roman" w:hAnsi="Kristen ITC"/>
          <w:sz w:val="24"/>
          <w:szCs w:val="24"/>
        </w:rPr>
        <w:t>̀ pubbliche distingue:</w:t>
      </w:r>
    </w:p>
    <w:p w:rsidR="00B934F9" w:rsidRPr="00A55B8B" w:rsidRDefault="00B934F9" w:rsidP="00B934F9">
      <w:pPr>
        <w:pStyle w:val="NormaleWeb"/>
        <w:numPr>
          <w:ilvl w:val="0"/>
          <w:numId w:val="3"/>
        </w:numPr>
        <w:spacing w:before="0" w:beforeAutospacing="0" w:after="0" w:afterAutospacing="0"/>
        <w:ind w:left="689"/>
        <w:jc w:val="both"/>
        <w:rPr>
          <w:rFonts w:ascii="Kristen ITC" w:eastAsia="Times New Roman" w:hAnsi="Kristen ITC"/>
          <w:sz w:val="24"/>
          <w:szCs w:val="24"/>
        </w:rPr>
      </w:pPr>
      <w:proofErr w:type="gramStart"/>
      <w:r w:rsidRPr="00A55B8B">
        <w:rPr>
          <w:rFonts w:ascii="Kristen ITC" w:eastAsia="Times New Roman" w:hAnsi="Kristen ITC"/>
          <w:sz w:val="24"/>
          <w:szCs w:val="24"/>
        </w:rPr>
        <w:t>le</w:t>
      </w:r>
      <w:proofErr w:type="gramEnd"/>
      <w:r w:rsidRPr="00A55B8B">
        <w:rPr>
          <w:rFonts w:ascii="Kristen ITC" w:eastAsia="Times New Roman" w:hAnsi="Kristen ITC"/>
          <w:sz w:val="24"/>
          <w:szCs w:val="24"/>
        </w:rPr>
        <w:t xml:space="preserve"> </w:t>
      </w:r>
      <w:proofErr w:type="spellStart"/>
      <w:r w:rsidRPr="00A55B8B">
        <w:rPr>
          <w:rFonts w:ascii="Kristen ITC" w:eastAsia="Times New Roman" w:hAnsi="Kristen ITC"/>
          <w:i/>
          <w:sz w:val="24"/>
          <w:szCs w:val="24"/>
        </w:rPr>
        <w:t>societa</w:t>
      </w:r>
      <w:proofErr w:type="spellEnd"/>
      <w:r w:rsidRPr="00A55B8B">
        <w:rPr>
          <w:rFonts w:ascii="Kristen ITC" w:eastAsia="Times New Roman" w:hAnsi="Kristen ITC"/>
          <w:i/>
          <w:sz w:val="24"/>
          <w:szCs w:val="24"/>
        </w:rPr>
        <w:t>̀ direttamente o indirettamente controllate</w:t>
      </w:r>
      <w:r w:rsidRPr="00A55B8B">
        <w:rPr>
          <w:rFonts w:ascii="Kristen ITC" w:eastAsia="Times New Roman" w:hAnsi="Kristen ITC"/>
          <w:sz w:val="24"/>
          <w:szCs w:val="24"/>
        </w:rPr>
        <w:t xml:space="preserve"> dalle amministrazioni pubbliche, individuate ai sensi dell’art. 2359, co. 1, numeri 1 e 2, del codice civile</w:t>
      </w:r>
    </w:p>
    <w:p w:rsidR="00B934F9" w:rsidRDefault="00B934F9" w:rsidP="00B934F9">
      <w:pPr>
        <w:pStyle w:val="NormaleWeb"/>
        <w:numPr>
          <w:ilvl w:val="0"/>
          <w:numId w:val="3"/>
        </w:numPr>
        <w:spacing w:before="0" w:beforeAutospacing="0" w:after="0" w:afterAutospacing="0"/>
        <w:ind w:left="689"/>
        <w:jc w:val="both"/>
        <w:rPr>
          <w:rFonts w:ascii="Kristen ITC" w:eastAsia="Times New Roman" w:hAnsi="Kristen ITC"/>
          <w:sz w:val="24"/>
          <w:szCs w:val="24"/>
        </w:rPr>
      </w:pPr>
      <w:proofErr w:type="gramStart"/>
      <w:r w:rsidRPr="00A55B8B">
        <w:rPr>
          <w:rFonts w:ascii="Kristen ITC" w:eastAsia="Times New Roman" w:hAnsi="Kristen ITC"/>
          <w:sz w:val="24"/>
          <w:szCs w:val="24"/>
        </w:rPr>
        <w:t>le</w:t>
      </w:r>
      <w:proofErr w:type="gramEnd"/>
      <w:r w:rsidRPr="00A55B8B">
        <w:rPr>
          <w:rFonts w:ascii="Kristen ITC" w:eastAsia="Times New Roman" w:hAnsi="Kristen ITC"/>
          <w:sz w:val="24"/>
          <w:szCs w:val="24"/>
        </w:rPr>
        <w:t xml:space="preserve"> </w:t>
      </w:r>
      <w:proofErr w:type="spellStart"/>
      <w:r w:rsidRPr="00A55B8B">
        <w:rPr>
          <w:rFonts w:ascii="Kristen ITC" w:eastAsia="Times New Roman" w:hAnsi="Kristen ITC"/>
          <w:sz w:val="24"/>
          <w:szCs w:val="24"/>
        </w:rPr>
        <w:t>societa</w:t>
      </w:r>
      <w:proofErr w:type="spellEnd"/>
      <w:r w:rsidRPr="00A55B8B">
        <w:rPr>
          <w:rFonts w:ascii="Kristen ITC" w:eastAsia="Times New Roman" w:hAnsi="Kristen ITC"/>
          <w:sz w:val="24"/>
          <w:szCs w:val="24"/>
        </w:rPr>
        <w:t xml:space="preserve">̀ come definite all’art. 11, comma 3, del d.l.gs. n.33/2013, a partecipazione pubblica non maggioritaria, in cui, </w:t>
      </w:r>
      <w:proofErr w:type="spellStart"/>
      <w:r w:rsidRPr="00A55B8B">
        <w:rPr>
          <w:rFonts w:ascii="Kristen ITC" w:eastAsia="Times New Roman" w:hAnsi="Kristen ITC"/>
          <w:sz w:val="24"/>
          <w:szCs w:val="24"/>
        </w:rPr>
        <w:t>cioe</w:t>
      </w:r>
      <w:proofErr w:type="spellEnd"/>
      <w:r w:rsidRPr="00A55B8B">
        <w:rPr>
          <w:rFonts w:ascii="Kristen ITC" w:eastAsia="Times New Roman" w:hAnsi="Kristen ITC"/>
          <w:sz w:val="24"/>
          <w:szCs w:val="24"/>
        </w:rPr>
        <w:t>̀, la partecipazione pubblica non è idonea a determinare una situa</w:t>
      </w:r>
      <w:r w:rsidR="008848E9">
        <w:rPr>
          <w:rFonts w:ascii="Kristen ITC" w:eastAsia="Times New Roman" w:hAnsi="Kristen ITC"/>
          <w:sz w:val="24"/>
          <w:szCs w:val="24"/>
        </w:rPr>
        <w:t>zione di controllo</w:t>
      </w:r>
      <w:r w:rsidRPr="00A55B8B">
        <w:rPr>
          <w:rFonts w:ascii="Kristen ITC" w:eastAsia="Times New Roman" w:hAnsi="Kristen ITC"/>
          <w:sz w:val="24"/>
          <w:szCs w:val="24"/>
        </w:rPr>
        <w:t xml:space="preserve">. </w:t>
      </w:r>
      <w:r w:rsidR="004437A9">
        <w:rPr>
          <w:rFonts w:ascii="Kristen ITC" w:eastAsia="Times New Roman" w:hAnsi="Kristen ITC"/>
          <w:sz w:val="24"/>
          <w:szCs w:val="24"/>
        </w:rPr>
        <w:t xml:space="preserve"> In materia si fa riferimento a</w:t>
      </w:r>
      <w:r w:rsidR="002A4E21">
        <w:rPr>
          <w:rFonts w:ascii="Kristen ITC" w:eastAsia="Times New Roman" w:hAnsi="Kristen ITC"/>
          <w:sz w:val="24"/>
          <w:szCs w:val="24"/>
        </w:rPr>
        <w:t xml:space="preserve">lla Deliberazione ANAC n. 8 in data 17 giugno 2015 (linee </w:t>
      </w:r>
      <w:proofErr w:type="gramStart"/>
      <w:r w:rsidR="002A4E21">
        <w:rPr>
          <w:rFonts w:ascii="Kristen ITC" w:eastAsia="Times New Roman" w:hAnsi="Kristen ITC"/>
          <w:sz w:val="24"/>
          <w:szCs w:val="24"/>
        </w:rPr>
        <w:t xml:space="preserve">Guida) </w:t>
      </w:r>
      <w:r w:rsidR="004437A9">
        <w:rPr>
          <w:rFonts w:ascii="Kristen ITC" w:eastAsia="Times New Roman" w:hAnsi="Kristen ITC"/>
          <w:sz w:val="24"/>
          <w:szCs w:val="24"/>
        </w:rPr>
        <w:t xml:space="preserve"> ed</w:t>
      </w:r>
      <w:proofErr w:type="gramEnd"/>
      <w:r w:rsidR="004437A9">
        <w:rPr>
          <w:rFonts w:ascii="Kristen ITC" w:eastAsia="Times New Roman" w:hAnsi="Kristen ITC"/>
          <w:sz w:val="24"/>
          <w:szCs w:val="24"/>
        </w:rPr>
        <w:t xml:space="preserve"> alla Deliberazione ANAC n. 831/2016 di approvazione PNA, in attesa delle nuove linee guida conseguenti l’applicazione del </w:t>
      </w:r>
      <w:proofErr w:type="spellStart"/>
      <w:r w:rsidR="004437A9">
        <w:rPr>
          <w:rFonts w:ascii="Kristen ITC" w:eastAsia="Times New Roman" w:hAnsi="Kristen ITC"/>
          <w:sz w:val="24"/>
          <w:szCs w:val="24"/>
        </w:rPr>
        <w:t>D.Lgv</w:t>
      </w:r>
      <w:proofErr w:type="spellEnd"/>
      <w:r w:rsidR="004437A9">
        <w:rPr>
          <w:rFonts w:ascii="Kristen ITC" w:eastAsia="Times New Roman" w:hAnsi="Kristen ITC"/>
          <w:sz w:val="24"/>
          <w:szCs w:val="24"/>
        </w:rPr>
        <w:t xml:space="preserve"> 175/2016 TU </w:t>
      </w:r>
      <w:proofErr w:type="spellStart"/>
      <w:r w:rsidR="004437A9">
        <w:rPr>
          <w:rFonts w:ascii="Kristen ITC" w:eastAsia="Times New Roman" w:hAnsi="Kristen ITC"/>
          <w:sz w:val="24"/>
          <w:szCs w:val="24"/>
        </w:rPr>
        <w:t>soscietà</w:t>
      </w:r>
      <w:proofErr w:type="spellEnd"/>
      <w:r w:rsidR="004437A9">
        <w:rPr>
          <w:rFonts w:ascii="Kristen ITC" w:eastAsia="Times New Roman" w:hAnsi="Kristen ITC"/>
          <w:sz w:val="24"/>
          <w:szCs w:val="24"/>
        </w:rPr>
        <w:t xml:space="preserve"> partecipate. </w:t>
      </w:r>
    </w:p>
    <w:p w:rsidR="002A4E21" w:rsidRDefault="002A4E21" w:rsidP="00B934F9">
      <w:pPr>
        <w:pStyle w:val="NormaleWeb"/>
        <w:numPr>
          <w:ilvl w:val="0"/>
          <w:numId w:val="3"/>
        </w:numPr>
        <w:spacing w:before="0" w:beforeAutospacing="0" w:after="0" w:afterAutospacing="0"/>
        <w:ind w:left="689"/>
        <w:jc w:val="both"/>
        <w:rPr>
          <w:rFonts w:ascii="Kristen ITC" w:eastAsia="Times New Roman" w:hAnsi="Kristen ITC"/>
          <w:sz w:val="24"/>
          <w:szCs w:val="24"/>
        </w:rPr>
      </w:pPr>
      <w:r>
        <w:rPr>
          <w:rFonts w:ascii="Kristen ITC" w:eastAsia="Times New Roman" w:hAnsi="Kristen ITC"/>
          <w:sz w:val="24"/>
          <w:szCs w:val="24"/>
        </w:rPr>
        <w:lastRenderedPageBreak/>
        <w:t xml:space="preserve">Si riproduce il testo della </w:t>
      </w:r>
      <w:r w:rsidRPr="00D11A23">
        <w:rPr>
          <w:rFonts w:ascii="Kristen ITC" w:eastAsia="Times New Roman" w:hAnsi="Kristen ITC"/>
          <w:b/>
          <w:sz w:val="24"/>
          <w:szCs w:val="24"/>
        </w:rPr>
        <w:t>Deliberazione</w:t>
      </w:r>
      <w:r w:rsidR="00D11A23" w:rsidRPr="00D11A23">
        <w:rPr>
          <w:rFonts w:ascii="Kristen ITC" w:eastAsia="Times New Roman" w:hAnsi="Kristen ITC"/>
          <w:b/>
          <w:sz w:val="24"/>
          <w:szCs w:val="24"/>
        </w:rPr>
        <w:t xml:space="preserve"> ANAC</w:t>
      </w:r>
      <w:r w:rsidRPr="00D11A23">
        <w:rPr>
          <w:rFonts w:ascii="Kristen ITC" w:eastAsia="Times New Roman" w:hAnsi="Kristen ITC"/>
          <w:b/>
          <w:sz w:val="24"/>
          <w:szCs w:val="24"/>
        </w:rPr>
        <w:t xml:space="preserve"> n. 8/2015</w:t>
      </w:r>
      <w:r w:rsidR="00D65004" w:rsidRPr="00D11A23">
        <w:rPr>
          <w:rFonts w:ascii="Kristen ITC" w:eastAsia="Times New Roman" w:hAnsi="Kristen ITC"/>
          <w:b/>
          <w:sz w:val="24"/>
          <w:szCs w:val="24"/>
        </w:rPr>
        <w:t>,</w:t>
      </w:r>
      <w:r w:rsidR="00D65004">
        <w:rPr>
          <w:rFonts w:ascii="Kristen ITC" w:eastAsia="Times New Roman" w:hAnsi="Kristen ITC"/>
          <w:sz w:val="24"/>
          <w:szCs w:val="24"/>
        </w:rPr>
        <w:t xml:space="preserve"> con l’allegato 1</w:t>
      </w:r>
      <w:r>
        <w:rPr>
          <w:rFonts w:ascii="Kristen ITC" w:eastAsia="Times New Roman" w:hAnsi="Kristen ITC"/>
          <w:sz w:val="24"/>
          <w:szCs w:val="24"/>
        </w:rPr>
        <w:t>:</w:t>
      </w:r>
    </w:p>
    <w:p w:rsidR="002A4E21" w:rsidRPr="00A55B8B" w:rsidRDefault="002A4E21" w:rsidP="002A4E21">
      <w:pPr>
        <w:pStyle w:val="NormaleWeb"/>
        <w:spacing w:before="0" w:beforeAutospacing="0" w:after="0" w:afterAutospacing="0"/>
        <w:ind w:left="689"/>
        <w:jc w:val="both"/>
        <w:rPr>
          <w:rFonts w:ascii="Kristen ITC" w:eastAsia="Times New Roman" w:hAnsi="Kristen ITC"/>
          <w:sz w:val="24"/>
          <w:szCs w:val="24"/>
        </w:rPr>
      </w:pP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Determinazione n. </w:t>
      </w:r>
      <w:proofErr w:type="gramStart"/>
      <w:r w:rsidRPr="002A4E21">
        <w:rPr>
          <w:rFonts w:ascii="Kristen ITC" w:hAnsi="Kristen ITC"/>
          <w:sz w:val="24"/>
          <w:szCs w:val="24"/>
        </w:rPr>
        <w:t>8  del</w:t>
      </w:r>
      <w:proofErr w:type="gramEnd"/>
      <w:r w:rsidRPr="002A4E21">
        <w:rPr>
          <w:rFonts w:ascii="Kristen ITC" w:hAnsi="Kristen ITC"/>
          <w:sz w:val="24"/>
          <w:szCs w:val="24"/>
        </w:rPr>
        <w:t xml:space="preserve"> 17 giugno 2015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«Linee guida per l’attuazione della normativa in materia di prevenzione della corruzione e trasparenza da parte delle società e degli enti di diritto privato controllati e partecipati dalle pubbliche amministrazioni e degli enti pubblici economici»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Autorità Nazionale Anticorruzione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2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IL CONSIGLIO DELL’AUTORITÀ NAZIONALE ANTICORRUZIONE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VISTO il decreto legge 24 giugno 2014, n. 90 convertito in legge n. 114/2014, e, in particolare, l’art. 19 co. 9 che attribuisce all’A.N.AC. </w:t>
      </w:r>
      <w:proofErr w:type="gramStart"/>
      <w:r w:rsidRPr="002A4E21">
        <w:rPr>
          <w:rFonts w:ascii="Kristen ITC" w:hAnsi="Kristen ITC"/>
          <w:sz w:val="24"/>
          <w:szCs w:val="24"/>
        </w:rPr>
        <w:t>le</w:t>
      </w:r>
      <w:proofErr w:type="gramEnd"/>
      <w:r w:rsidRPr="002A4E21">
        <w:rPr>
          <w:rFonts w:ascii="Kristen ITC" w:hAnsi="Kristen ITC"/>
          <w:sz w:val="24"/>
          <w:szCs w:val="24"/>
        </w:rPr>
        <w:t xml:space="preserve"> funzioni in materia di prevenzione della corruzione ivi incluse quelle relative alla predisposizione del Piano Nazionale Anticorruzione e dei suoi aggiornamenti.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VISTO l’art. 24 bis del decreto legge n. 90/2014 che modifica l’art. 11 del d.lgs. n. 33/2013 sull’ambito soggettivo di applicazione della trasparenza, intesa quale </w:t>
      </w:r>
      <w:r w:rsidRPr="002A4E21">
        <w:rPr>
          <w:rFonts w:ascii="Kristen ITC" w:hAnsi="Kristen ITC"/>
          <w:sz w:val="24"/>
          <w:szCs w:val="24"/>
        </w:rPr>
        <w:lastRenderedPageBreak/>
        <w:t xml:space="preserve">accessibilità totale delle informazioni, e prevede che la disciplina del d.lgs. n. 33/2013 si applichi anche agli “ enti di diritto pubblico non territoriali, nazionali regionali o locali comunque denominati, istituiti, vigilati, finanziati dalla pubblica amministrazione” nonché, limitatamente all’attività di pubblico interesse disciplinata dal diritto nazionale o dell’Unione europea”, agli “enti di diritto privato in controllo pubblico, ossia alle società e agli altri enti di diritto privato che esercitano funzioni amministrative, attività di produzione di beni e servizi a favore delle amministrazioni pubbliche o di gestione di servizi pubblici, sottoposti a controllo ai sensi dell’articolo 2359 del codice civile da parte di pubbliche amministrazioni, oppure agli enti nei quali siano riconosciuti alle pubbliche amministrazioni, anche in assenza di una partecipazione azionaria, poteri di nomina dei vertici o dei componenti degli organi”. Il medesimo articolo prevede anche che “alle società partecipate dalle pubbliche amministrazioni in caso di partecipazione non maggioritaria, si applicano, limitatamente all’attività di pubblico interesse disciplinata dal diritto nazionale o dell'Unione europea, le disposizioni dell’articolo 1, commi da 15 a 33, della legge 6 novembre 2012, n. 190”.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VISTA la delibera A.N.AC. n. 144 del 2014 con la quale l’Autorità ha chiarito che fra gli enti di diritto pubblico non territoriali, nazionali regionali o locali, comunque denominati, istituiti, vigilati, finanziati dalla pubblica amministrazione sono ricompresi tutti gli enti aventi natura di diritto pubblico, economici e non economici.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RILEVATA la necessità, dopo l’entrata in vigore del decreto legge 24 giugno 2014, n. 90, di dare indicazioni sull’applicazione della normativa in materia di prevenzione della corruzione e di trasparenza agli enti e alle società predetti.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VISTA la legge 6 novembre 2012, n. 190 che disciplina i contenuti del Piano triennale di prevenzione della 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VISTO il decreto legislativo 14 marzo 2013, n. 33 che definisce i contenuti del Programma triennale per la trasparenza e l’integrità e individua gli obblighi di pubblicazione di dati, documenti e informazioni ai fini dell’accessibilità totale.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VISTA la delibera n. 50/2013, con la quale sono specificati i contenuti del Programma triennale per la trasparenza e l’integrità.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lastRenderedPageBreak/>
        <w:t xml:space="preserve">VISTO il decreto legislativo 8 aprile 2013, n. 39 recante le disposizioni in materia di </w:t>
      </w:r>
      <w:proofErr w:type="spellStart"/>
      <w:r w:rsidRPr="002A4E21">
        <w:rPr>
          <w:rFonts w:ascii="Kristen ITC" w:hAnsi="Kristen ITC"/>
          <w:sz w:val="24"/>
          <w:szCs w:val="24"/>
        </w:rPr>
        <w:t>inconferibilità</w:t>
      </w:r>
      <w:proofErr w:type="spellEnd"/>
      <w:r w:rsidRPr="002A4E21">
        <w:rPr>
          <w:rFonts w:ascii="Kristen ITC" w:hAnsi="Kristen ITC"/>
          <w:sz w:val="24"/>
          <w:szCs w:val="24"/>
        </w:rPr>
        <w:t xml:space="preserve"> e incompatibilità di incarichi presso le pubbliche amministrazioni e presso gli enti privati in controllo pubblico, a norma dell’art. 1, commi 49 e 50, della legge n. 190 del 2012.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Autorità Nazionale Anticorruzione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3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VISTO lo schema di delibera con il quale sono state poste in consultazione le «Linee guida per l’attuazione della normativa in materia di prevenzione della corruzione e trasparenza da parte delle società e degli enti di diritto privato controllati e partecipati dalle pubbliche amministrazioni e degli enti pubblici economici».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Esaminate le osservazioni pervenute.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ADOTTA LA SEGUENTE DELIBERA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«Linee guida per l’attuazione della normativa in materia di prevenzione della corruzione e trasparenza da parte delle società e degli enti di diritto privato controllati e partecipati dalle pubbliche amministrazioni e degli enti pubblici economici»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lastRenderedPageBreak/>
        <w:t xml:space="preserve"> </w:t>
      </w:r>
      <w:r w:rsidR="007A0CBE" w:rsidRPr="007A0CBE">
        <w:rPr>
          <w:rFonts w:ascii="Kristen ITC" w:hAnsi="Kristen ITC"/>
          <w:noProof/>
          <w:sz w:val="24"/>
          <w:szCs w:val="24"/>
          <w:lang w:eastAsia="it-IT"/>
        </w:rPr>
        <w:drawing>
          <wp:inline distT="0" distB="0" distL="0" distR="0">
            <wp:extent cx="6120130" cy="4341828"/>
            <wp:effectExtent l="0" t="0" r="0" b="190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4341828"/>
                    </a:xfrm>
                    <a:prstGeom prst="rect">
                      <a:avLst/>
                    </a:prstGeom>
                    <a:noFill/>
                    <a:ln>
                      <a:noFill/>
                    </a:ln>
                  </pic:spPr>
                </pic:pic>
              </a:graphicData>
            </a:graphic>
          </wp:inline>
        </w:drawing>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Allegato 1 – Principali adattamenti degli obblighi di trasparenza contenuti nel d.lgs. n. 33/2013 per le società e gli enti di diritto privato controllati o partecipati da pubbliche amministrazioni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proofErr w:type="gramStart"/>
      <w:r w:rsidRPr="002A4E21">
        <w:rPr>
          <w:rFonts w:ascii="Kristen ITC" w:hAnsi="Kristen ITC"/>
          <w:sz w:val="24"/>
          <w:szCs w:val="24"/>
        </w:rPr>
        <w:t>Premessa  Le</w:t>
      </w:r>
      <w:proofErr w:type="gramEnd"/>
      <w:r w:rsidRPr="002A4E21">
        <w:rPr>
          <w:rFonts w:ascii="Kristen ITC" w:hAnsi="Kristen ITC"/>
          <w:sz w:val="24"/>
          <w:szCs w:val="24"/>
        </w:rPr>
        <w:t xml:space="preserve"> presenti Linee guida sono volte ad orientare gli enti di diritto privato controllati e partecipati, direttamente e indirettamente, da pubbliche amministrazioni e gli enti pubblici economici </w:t>
      </w:r>
    </w:p>
    <w:p w:rsidR="002A4E21" w:rsidRPr="002A4E21" w:rsidRDefault="002A4E21" w:rsidP="002A4E21">
      <w:pPr>
        <w:jc w:val="both"/>
        <w:rPr>
          <w:rFonts w:ascii="Kristen ITC" w:hAnsi="Kristen ITC"/>
          <w:sz w:val="24"/>
          <w:szCs w:val="24"/>
        </w:rPr>
      </w:pP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Autorità Nazionale Anticorruzione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lastRenderedPageBreak/>
        <w:t xml:space="preserve">4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proofErr w:type="gramStart"/>
      <w:r w:rsidRPr="002A4E21">
        <w:rPr>
          <w:rFonts w:ascii="Kristen ITC" w:hAnsi="Kristen ITC"/>
          <w:sz w:val="24"/>
          <w:szCs w:val="24"/>
        </w:rPr>
        <w:t>nell’applicazione</w:t>
      </w:r>
      <w:proofErr w:type="gramEnd"/>
      <w:r w:rsidRPr="002A4E21">
        <w:rPr>
          <w:rFonts w:ascii="Kristen ITC" w:hAnsi="Kristen ITC"/>
          <w:sz w:val="24"/>
          <w:szCs w:val="24"/>
        </w:rPr>
        <w:t xml:space="preserve"> della normativa in materia di prevenzione della corruzione e trasparenza di cui alla legge n. 190/2012 e definiscono altresì le implicazioni che ne derivano, anche in termini organizzativi, per detti soggetti e per le amministrazioni di riferimento.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Già il Piano nazionale anticorruzione (PNA), approvato dall’Autorità (A.N.AC.) con delibera n. 72 del 2013, aveva previsto l’applicazione di misure di prevenzione della corruzione negli enti di diritto privato in controllo pubblico e partecipati da pubbliche amministrazioni, anche con veste societaria, e negli enti pubblici economici.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A seguito dell’approvazione del PNA, tuttavia, la normativa anticorruzione prevista dalla legge n. 190 del 2012 e dai decreti delegati ha subito significative modifiche da parte del decreto legge n. 90 del 2014 convertito con modificazioni dalla legge 11 agosto 2014, n. 114. In particolare, è stato ridisegnato l’assetto istituzionale incentrando nell’A.N.AC. </w:t>
      </w:r>
      <w:proofErr w:type="gramStart"/>
      <w:r w:rsidRPr="002A4E21">
        <w:rPr>
          <w:rFonts w:ascii="Kristen ITC" w:hAnsi="Kristen ITC"/>
          <w:sz w:val="24"/>
          <w:szCs w:val="24"/>
        </w:rPr>
        <w:t>e</w:t>
      </w:r>
      <w:proofErr w:type="gramEnd"/>
      <w:r w:rsidRPr="002A4E21">
        <w:rPr>
          <w:rFonts w:ascii="Kristen ITC" w:hAnsi="Kristen ITC"/>
          <w:sz w:val="24"/>
          <w:szCs w:val="24"/>
        </w:rPr>
        <w:t xml:space="preserve"> nel suo Presidente, il sistema della regolazione e della vigilanza in materia di prevenzione della corruzione ed è stato attribuito alla sola A.N.AC. </w:t>
      </w:r>
      <w:proofErr w:type="gramStart"/>
      <w:r w:rsidRPr="002A4E21">
        <w:rPr>
          <w:rFonts w:ascii="Kristen ITC" w:hAnsi="Kristen ITC"/>
          <w:sz w:val="24"/>
          <w:szCs w:val="24"/>
        </w:rPr>
        <w:t>il</w:t>
      </w:r>
      <w:proofErr w:type="gramEnd"/>
      <w:r w:rsidRPr="002A4E21">
        <w:rPr>
          <w:rFonts w:ascii="Kristen ITC" w:hAnsi="Kristen ITC"/>
          <w:sz w:val="24"/>
          <w:szCs w:val="24"/>
        </w:rPr>
        <w:t xml:space="preserve"> compito di predisporre il PNA.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Tra le altre principali modifiche che interessano ai fini delle presenti Linee guida, l’art. 24 bis del </w:t>
      </w:r>
      <w:proofErr w:type="spellStart"/>
      <w:r w:rsidRPr="002A4E21">
        <w:rPr>
          <w:rFonts w:ascii="Kristen ITC" w:hAnsi="Kristen ITC"/>
          <w:sz w:val="24"/>
          <w:szCs w:val="24"/>
        </w:rPr>
        <w:t>d.l.</w:t>
      </w:r>
      <w:proofErr w:type="spellEnd"/>
      <w:r w:rsidRPr="002A4E21">
        <w:rPr>
          <w:rFonts w:ascii="Kristen ITC" w:hAnsi="Kristen ITC"/>
          <w:sz w:val="24"/>
          <w:szCs w:val="24"/>
        </w:rPr>
        <w:t xml:space="preserve"> del 24 giugno 2014 n. 90 è intervenuto sull’art. 11 del d.lgs. n. 33/2013 «Ambito soggettivo di applicazione» e ha esteso l’applicazione della disciplina della trasparenza, limitatamente all’attività di pubblico interesse disciplinata dal diritto nazionale o dell’Unione europea, agli «enti di diritto privato in controllo pubblico, ossia alle società e agli altri enti di diritto privato che esercitano funzioni amministrative, attività di produzione di beni e servizi a favore delle amministrazioni pubbliche o di gestione di servizi pubblici, sottoposti a controllo ai sensi dell’articolo 2359 del codice civile da parte di pubbliche amministrazioni, oppure agli enti nei quali siano riconosciuti alle pubbliche amministrazioni, anche in assenza di una partecipazione azionaria, poteri di nomina dei vertici o dei componenti degli organi». Nel contempo, il medesimo articolo ha </w:t>
      </w:r>
      <w:r w:rsidRPr="002A4E21">
        <w:rPr>
          <w:rFonts w:ascii="Kristen ITC" w:hAnsi="Kristen ITC"/>
          <w:sz w:val="24"/>
          <w:szCs w:val="24"/>
        </w:rPr>
        <w:lastRenderedPageBreak/>
        <w:t xml:space="preserve">previsto che alle società partecipate dalle pubbliche amministrazioni «in caso di partecipazione non maggioritaria, si applicano, limitatamente all’attività di pubblico interesse disciplinata dal diritto nazionale o dell'Unione europea, le disposizioni dell’articolo 1, commi da 15 a 33, della legge 6 novembre 2012, n. 190».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Le disposizioni in questione intervengono in un quadro normativo già di per sé particolarmente complesso, il cui ambito soggettivo di applicazione ha dato luogo a numerose incertezze interpretative, oggi solo in parte risolte a seguito della modifica dell’art. 11 del d.lgs. n. 33 del 2013.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In particolare, per quanto riguarda l’applicabilità delle misure di prevenzione della corruzione e della trasparenza alle società controllate, a quelle partecipate e agli altri enti di diritto privato in controllo pubblico nonché agli enti pubblici economici, le modifiche normative sopra citate, unitamente alla disorganicità delle disposizioni della legge n. 190 del 2012 e dei decreti delegati che si riferiscono a detti enti e società, hanno indotto l’A.N.AC. </w:t>
      </w:r>
      <w:proofErr w:type="gramStart"/>
      <w:r w:rsidRPr="002A4E21">
        <w:rPr>
          <w:rFonts w:ascii="Kristen ITC" w:hAnsi="Kristen ITC"/>
          <w:sz w:val="24"/>
          <w:szCs w:val="24"/>
        </w:rPr>
        <w:t>e</w:t>
      </w:r>
      <w:proofErr w:type="gramEnd"/>
      <w:r w:rsidRPr="002A4E21">
        <w:rPr>
          <w:rFonts w:ascii="Kristen ITC" w:hAnsi="Kristen ITC"/>
          <w:sz w:val="24"/>
          <w:szCs w:val="24"/>
        </w:rPr>
        <w:t xml:space="preserve"> il Ministero dell’economia e delle finanze (MEF) ad avviare una riflessione comune, con l’istituzione di un tavolo tecnico, finalizzata all’elaborazione di indicazioni condivise sull’applicazione della normativa anticorruzione e della nuova disciplina in materia di trasparenza.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Autorità Nazionale Anticorruzione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5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Alla fine di dicembre 2014, l’A.N.AC. </w:t>
      </w:r>
      <w:proofErr w:type="gramStart"/>
      <w:r w:rsidRPr="002A4E21">
        <w:rPr>
          <w:rFonts w:ascii="Kristen ITC" w:hAnsi="Kristen ITC"/>
          <w:sz w:val="24"/>
          <w:szCs w:val="24"/>
        </w:rPr>
        <w:t>e</w:t>
      </w:r>
      <w:proofErr w:type="gramEnd"/>
      <w:r w:rsidRPr="002A4E21">
        <w:rPr>
          <w:rFonts w:ascii="Kristen ITC" w:hAnsi="Kristen ITC"/>
          <w:sz w:val="24"/>
          <w:szCs w:val="24"/>
        </w:rPr>
        <w:t xml:space="preserve"> il MEF hanno approvato un documento, pubblicato sui rispettivi siti istituzionali, in cui sono stati tracciati i principali indirizzi a cui si attengono le presenti Linee guida e la direttiva che il MEF intende adottare nei confronti delle proprie società controllate e partecipate. Detti indirizzi sono stati anche oggetto di un seminario pubblico che si è svolto il 4 marzo </w:t>
      </w:r>
      <w:r w:rsidRPr="002A4E21">
        <w:rPr>
          <w:rFonts w:ascii="Kristen ITC" w:hAnsi="Kristen ITC"/>
          <w:sz w:val="24"/>
          <w:szCs w:val="24"/>
        </w:rPr>
        <w:lastRenderedPageBreak/>
        <w:t xml:space="preserve">2015 presso il MEF e a cui sono stati invitati i rappresentanti degli uffici legali e i Responsabili della prevenzione della corruzione delle società partecipate e controllate dal MEF.  Consapevole della rilevanza del fenomeno degli enti di diritto privato controllati o partecipati a livello regionale e locale, l’A.N.AC. </w:t>
      </w:r>
      <w:proofErr w:type="gramStart"/>
      <w:r w:rsidRPr="002A4E21">
        <w:rPr>
          <w:rFonts w:ascii="Kristen ITC" w:hAnsi="Kristen ITC"/>
          <w:sz w:val="24"/>
          <w:szCs w:val="24"/>
        </w:rPr>
        <w:t>ha</w:t>
      </w:r>
      <w:proofErr w:type="gramEnd"/>
      <w:r w:rsidRPr="002A4E21">
        <w:rPr>
          <w:rFonts w:ascii="Kristen ITC" w:hAnsi="Kristen ITC"/>
          <w:sz w:val="24"/>
          <w:szCs w:val="24"/>
        </w:rPr>
        <w:t xml:space="preserve"> messo in consultazione pubblica le Linee guida sulle quali sono pervenuti contributi da parte del mondo delle autonomie oltre che da parte di tutti gli altri soggetti interessati. Le osservazioni e le proposte pervenute sono state tenute in considerazione nella stesura del testo finale delle Linee guida.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Le presenti Linee guida incidono sulla disciplina già prevista dal PNA e ne comportano una rivisitazione. Pertanto, vista la coincidenza delle questioni trattate, le Linee guida integrano e sostituiscono1, laddove non compatibili, i contenuti del PNA in materia di misure di prevenzione della corruzione e di trasparenza che devono essere adottate dagli enti pubblici economici, dagli enti di diritto privato in controllo pubblico e dalle società a partecipazione pubblica.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Le Linee guida sono innanzitutto indirizzate alle società e agli enti di diritto privato controllati e partecipati dalle pubbliche amministrazioni, nonché agli enti pubblici economici. L’applicazione delle presenti Linee guida è sospesa per le società con azioni quotate e per le società con strumenti finanziari quotati in mercati regolamentati e per le loro controllate. Ad avviso dell’Autorità e del MEF senza dubbio anche per queste società sussiste un interesse pubblico alla prevenzione della corruzione e alla promozione della trasparenza. Poiché, tuttavia, dette società sono sottoposte ad un particolare regime giuridico, specie in materia di diffusione di informazioni, a tutela degli investitori e del funzionamento delle regole del mercato concorrenziale, le indicazioni circa la disciplina ad esse applicabile saranno oggetto di Linee guida da adottare in esito alle risultanze del tavolo di lavoro che l’A.N.AC. </w:t>
      </w:r>
      <w:proofErr w:type="gramStart"/>
      <w:r w:rsidRPr="002A4E21">
        <w:rPr>
          <w:rFonts w:ascii="Kristen ITC" w:hAnsi="Kristen ITC"/>
          <w:sz w:val="24"/>
          <w:szCs w:val="24"/>
        </w:rPr>
        <w:t>e</w:t>
      </w:r>
      <w:proofErr w:type="gramEnd"/>
      <w:r w:rsidRPr="002A4E21">
        <w:rPr>
          <w:rFonts w:ascii="Kristen ITC" w:hAnsi="Kristen ITC"/>
          <w:sz w:val="24"/>
          <w:szCs w:val="24"/>
        </w:rPr>
        <w:t xml:space="preserve"> il MEF hanno avviato con la CONSOB.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Le Linee guida sono rivolte, inoltre, alle amministrazioni pubbliche che vigilano, partecipano e controllano gli enti di diritto privato e gli enti pubblici economici. Ad avviso dell’Autorità, infatti, spetta in primo luogo a dette amministrazioni promuovere l’applicazione della normativa in materia di prevenzione della corruzione e di trasparenza da parte di tali enti. Ciò in ragione dei poteri che le amministrazioni esercitano nei confronti degli stessi ovvero del legame organizzativo, funzionale o finanziario che li correla.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lastRenderedPageBreak/>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1 In particolare le Linee guida intervengono sulle seguenti parti del PNA: 1.3 - Destinatari – pag. 12; 3.1.1 - I Piani Triennali di Prevenzione della Corruzione - P.T.P.C. - e i modelli di organizzazione e gestione del d.lgs. n. 231 del 2001 – pag. 33-34; 3.1.2 Trasparenza – pag. 35; 3.1.7 - Conferimento di incarichi dirigenziali in caso di particolari attività o incarichi precedenti (</w:t>
      </w:r>
      <w:proofErr w:type="spellStart"/>
      <w:r w:rsidRPr="002A4E21">
        <w:rPr>
          <w:rFonts w:ascii="Kristen ITC" w:hAnsi="Kristen ITC"/>
          <w:sz w:val="24"/>
          <w:szCs w:val="24"/>
        </w:rPr>
        <w:t>pantouflage</w:t>
      </w:r>
      <w:proofErr w:type="spellEnd"/>
      <w:r w:rsidRPr="002A4E21">
        <w:rPr>
          <w:rFonts w:ascii="Kristen ITC" w:hAnsi="Kristen ITC"/>
          <w:sz w:val="24"/>
          <w:szCs w:val="24"/>
        </w:rPr>
        <w:t xml:space="preserve"> – revolving </w:t>
      </w:r>
      <w:proofErr w:type="spellStart"/>
      <w:r w:rsidRPr="002A4E21">
        <w:rPr>
          <w:rFonts w:ascii="Kristen ITC" w:hAnsi="Kristen ITC"/>
          <w:sz w:val="24"/>
          <w:szCs w:val="24"/>
        </w:rPr>
        <w:t>doors</w:t>
      </w:r>
      <w:proofErr w:type="spellEnd"/>
      <w:r w:rsidRPr="002A4E21">
        <w:rPr>
          <w:rFonts w:ascii="Kristen ITC" w:hAnsi="Kristen ITC"/>
          <w:sz w:val="24"/>
          <w:szCs w:val="24"/>
        </w:rPr>
        <w:t xml:space="preserve">) – pag. 40; 3.1.8 - Incompatibilità specifiche per posizioni dirigenziali – pag. 42; Allegato 1 A Soggetti e ruoli della strategia di prevenzione; A.1 Soggetti e ruoli della strategia di prevenzione a livello nazionale – pag. 3; A.2 Soggetti e ruoli della strategia di prevenzione a livello decentrato – pag. 5 e 6; B.3.1 Ambito di applicazione delle norme sulla trasparenza – pag. 34-36; B.9 Incompatibilità specifiche per posizioni dirigenziali - pag. 50.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Autorità Nazionale Anticorruzione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6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L’ambito soggettivo di applicazione delle norme è particolarmente vasto ed eterogeneo. Nel solo settore degli enti controllati e partecipati da pubbliche amministrazioni, sulla base dei dati comunicati dalle stesse amministrazioni al MEF al 31 dicembre 2012, le amministrazioni centrali partecipano, direttamente o in via indiretta, in 423 enti a cui si aggiungono i 17 partecipati dagli enti previdenziali. Le amministrazioni locali hanno dichiarato di detenere, direttamente o in via indiretta, 35.311 partecipazioni che insistono su 7.726 enti. Le strutture organizzative e i modelli giuridici degli enti in questione sono vari e diversificati2.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Data l’estensione del fenomeno e l’eterogeneità delle tipologie di enti privati in controllo pubblico e partecipati esistenti, con il presente atto di regolazione l’Autorità intende fornire indicazioni relativamente ai contenuti essenziali dei modelli organizzativi da adottare ai fini di prevenzione della corruzione e di diffusione della trasparenza non potendo, invece, fare riferimento puntuale a </w:t>
      </w:r>
      <w:r w:rsidRPr="002A4E21">
        <w:rPr>
          <w:rFonts w:ascii="Kristen ITC" w:hAnsi="Kristen ITC"/>
          <w:sz w:val="24"/>
          <w:szCs w:val="24"/>
        </w:rPr>
        <w:lastRenderedPageBreak/>
        <w:t xml:space="preserve">singoli enti o società. Le Linee guida, pertanto, mirano a orientare le società e gli enti nell’applicazione della normativa di prevenzione della corruzione e della trasparenza con l’obiettivo primario che essa non dia luogo ad un mero adempimento burocratico, ma che venga adattata alla realtà organizzativa dei singoli enti per mettere a punto strumenti di prevenzione mirati e incisivi.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Infine, da un punto di vista metodologico, i contenuti delle Linee guida sono stati sviluppati avendo ben presente l’esigenza di prevedere necessari adattamenti di una normativa emanata innanzitutto per le pubbliche amministrazioni ed estesa anche ad enti con natura privatistica o la cui attività presenta caratteri diversi da quella delle pubbliche amministrazioni ex art. 1, co. 2, del d.lgs. n. 165/2001.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Le presenti Linee guida si articolano in sei paragrafi. Il primo paragrafo ricostruisce il quadro normativo e fornisce alcune indicazioni interpretative di carattere generale. I paragrafi successivi riguardano le società in controllo pubblico e le società a partecipazione pubblica non di controllo (§ 2), gli altri enti di diritto privato controllati e partecipati (§ 3), gli enti pubblici economici (§ 4). Per ciascuna macro categoria di società ed ente sono fornite indicazioni in merito all’applicazione delle misure di prevenzione della corruzione e all’attuazione degli obblighi di trasparenza. Il quinto paragrafo è dedicato alle attività di vigilanza svolte dall’Autorità Nazionale Anticorruzione. Nel sesto paragrafo si definisce il regime della disciplina transitoria.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1. Il quadro normativo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Numerose disposizioni della legge n. 190 del 2012 e dei relativi decreti attuativi individuano gli enti di diritto privato partecipati da pubbliche amministrazioni o in controllo pubblico e gli enti pubblici                                                  2 Ministero economia e finanza, Dipartimento del Tesoro “Patrimonio della PA. Rapporto sulle partecipazioni detenute dalle Amministrazioni Pubbliche al 31 dicembre 2012” - Luglio 2014. http://www.dt.tesoro.it/export/sites/sitodt/modules/documenti_it/programmi_cartolarizzazione/patrimonio_pa/Rapp orto_Partecipazioni_DatiAnno2012.pdf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Autorità Nazionale Anticorruzione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7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proofErr w:type="gramStart"/>
      <w:r w:rsidRPr="002A4E21">
        <w:rPr>
          <w:rFonts w:ascii="Kristen ITC" w:hAnsi="Kristen ITC"/>
          <w:sz w:val="24"/>
          <w:szCs w:val="24"/>
        </w:rPr>
        <w:t>economici</w:t>
      </w:r>
      <w:proofErr w:type="gramEnd"/>
      <w:r w:rsidRPr="002A4E21">
        <w:rPr>
          <w:rFonts w:ascii="Kristen ITC" w:hAnsi="Kristen ITC"/>
          <w:sz w:val="24"/>
          <w:szCs w:val="24"/>
        </w:rPr>
        <w:t xml:space="preserve"> quali destinatari di misure di prevenzione della corruzione e di promozione della trasparenza. Assume particolare rilievo l’art. 1, commi 60 e 61, della legge n. 190 del 2012 secondo cui in sede di intesa in Conferenza unificata Stato, Regioni e autonomie locali sono definiti gli adempimenti per la sollecita attuazione della legge 190 e dei relativi decreti delegati nelle regioni, nelle province autonome e negli enti locali, nonché «negli enti pubblici e nei soggetti di diritto privato sottoposti al loro controllo».  Inoltre, gli enti di diritto privato sottoposti a controllo pubblico che esercitano funzioni amministrative, attività di produzione di beni e servizi a favore delle amministrazioni pubbliche o di gestione di servizi pubblici sono esplicitamente indicati dal legislatore quali destinatari della disciplina in materia di </w:t>
      </w:r>
      <w:proofErr w:type="spellStart"/>
      <w:r w:rsidRPr="002A4E21">
        <w:rPr>
          <w:rFonts w:ascii="Kristen ITC" w:hAnsi="Kristen ITC"/>
          <w:sz w:val="24"/>
          <w:szCs w:val="24"/>
        </w:rPr>
        <w:t>inconferibilità</w:t>
      </w:r>
      <w:proofErr w:type="spellEnd"/>
      <w:r w:rsidRPr="002A4E21">
        <w:rPr>
          <w:rFonts w:ascii="Kristen ITC" w:hAnsi="Kristen ITC"/>
          <w:sz w:val="24"/>
          <w:szCs w:val="24"/>
        </w:rPr>
        <w:t xml:space="preserve"> ed incompatibilità degli incarichi dirigenziali e di responsabilità amministrativa di vertice nelle amministrazioni pubbliche ai fini della prevenzione e del contrasto della corruzione nonché della prevenzione di conflitti d’interesse (art. 1, commi 49 e 50, legge n. 190 del 2012 e d.lgs. n. 39 del 2013). In questa ottica, nell’art. 15, co. 1, del d.lgs. n. 39 del 2013 viene affidato al responsabile del Piano anticorruzione di ciascun ente pubblico e ente di diritto privato in controllo pubblico il compito di curare, anche attraverso il Piano, l’attuazione delle disposizioni del decreto.  Ai sensi dell’art. 1, co. 17, della legge n. 190 del 2012, anche le società partecipate dalle amministrazioni pubbliche e gli enti di diritto privato in controllo pubblico, in quanto stazioni appaltanti, possono prevedere negli avvisi, nei bandi di gara o nelle lettere di invito che il mancato rispetto delle clausole contenute nei protocolli di legalità o nei patti di integrità costituisca causa di esclusione dalla gara. Infine, l’art. 1, co. 20, stabilisce che le disposizioni relative al ricorso all’arbitrato in materia di contratti pubblici (modificate dalla legge n. 190 del 2012) si applichino anche alle controversie in cui sia parte una società a partecipazione pubblica ovvero una società controllata o collegata a una società a partecipazione pubblica, ai sensi dell’art. 2359 del codice civile.  Per quanto riguarda la trasparenza, intesa come accessibilità totale delle informazioni pubblicate sui siti </w:t>
      </w:r>
      <w:r w:rsidRPr="002A4E21">
        <w:rPr>
          <w:rFonts w:ascii="Kristen ITC" w:hAnsi="Kristen ITC"/>
          <w:sz w:val="24"/>
          <w:szCs w:val="24"/>
        </w:rPr>
        <w:lastRenderedPageBreak/>
        <w:t xml:space="preserve">web, da subito la legge n. 190 del 2012, all’art. 1, co. 34, ne aveva esteso l’applicazione agli enti pubblici economici, come già indicato nella delibera A.N.AC. n. 50 del 2013 «Linee guida per l’aggiornamento del Programma triennale per la trasparenza e l’integrità 2014-2016», e alle società partecipate dalle amministrazioni pubbliche e alle loro controllate, ai sensi dell’art. 2359 del codice civile, «limitatamente alla loro attività di pubblico interesse disciplinata dal diritto nazionale o dell’Unione europea» e con riferimento alle informazioni contenute nei commi da 15 a 33 dell’art. 1 della stessa legge. Successivamente, l’art. 11 del d.lgs. n. 33 del 2013, come modificato dall’art. 24-bis del </w:t>
      </w:r>
      <w:proofErr w:type="spellStart"/>
      <w:r w:rsidRPr="002A4E21">
        <w:rPr>
          <w:rFonts w:ascii="Kristen ITC" w:hAnsi="Kristen ITC"/>
          <w:sz w:val="24"/>
          <w:szCs w:val="24"/>
        </w:rPr>
        <w:t>d.l.</w:t>
      </w:r>
      <w:proofErr w:type="spellEnd"/>
      <w:r w:rsidRPr="002A4E21">
        <w:rPr>
          <w:rFonts w:ascii="Kristen ITC" w:hAnsi="Kristen ITC"/>
          <w:sz w:val="24"/>
          <w:szCs w:val="24"/>
        </w:rPr>
        <w:t xml:space="preserve"> n. 90 del 2014, ha esteso l’intera disciplina del decreto agli enti di diritto privato in controllo pubblico e cioè alle «società e gli altri enti di diritto privato che esercitano funzioni amministrative, attività di produzione di beni e servizi a favore delle amministrazioni pubbliche o di gestione di servizi pubblici, sottoposti a controllo ai sensi dell'articolo 2359 del codice civile da parte di pubbliche amministrazioni, oppure agli enti nei quali siano riconosciuti alle pubbliche amministrazioni, anche in assenza di una partecipazione azionaria, poteri di nomina dei vertici o dei componenti degli organi, sia pure «limitatamente all’attività di pubblico interesse disciplinata dal diritto nazionale o dell’Unione europea». Lo stesso art. 11, al co. 3, sottopone a un diverso livello di trasparenza le società partecipate dalle pubbliche amministrazioni </w:t>
      </w:r>
    </w:p>
    <w:p w:rsidR="002A4E21" w:rsidRPr="002A4E21" w:rsidRDefault="002A4E21" w:rsidP="002A4E21">
      <w:pPr>
        <w:jc w:val="both"/>
        <w:rPr>
          <w:rFonts w:ascii="Kristen ITC" w:hAnsi="Kristen ITC"/>
          <w:sz w:val="24"/>
          <w:szCs w:val="24"/>
        </w:rPr>
      </w:pP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Autorità Nazionale Anticorruzione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8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proofErr w:type="gramStart"/>
      <w:r w:rsidRPr="002A4E21">
        <w:rPr>
          <w:rFonts w:ascii="Kristen ITC" w:hAnsi="Kristen ITC"/>
          <w:sz w:val="24"/>
          <w:szCs w:val="24"/>
        </w:rPr>
        <w:t>in</w:t>
      </w:r>
      <w:proofErr w:type="gramEnd"/>
      <w:r w:rsidRPr="002A4E21">
        <w:rPr>
          <w:rFonts w:ascii="Kristen ITC" w:hAnsi="Kristen ITC"/>
          <w:sz w:val="24"/>
          <w:szCs w:val="24"/>
        </w:rPr>
        <w:t xml:space="preserve"> via non maggioritaria. A tali società si applicano, limitatamente all’attività di pubblico interesse disciplinata dal diritto nazionale o dell’Unione europea, le disposizioni dell’art. 1, commi da 15 a 33, della l. n. 190/2012.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Dal quadro normativo sinteticamente tratteggiato emerge con evidenza l’intenzione del legislatore di includere anche le società e gli enti di diritto privato controllati e gli enti pubblici economici fra i soggetti tenuti all’applicazione della normativa in materia di prevenzione della corruzione e di trasparenza, intenzione </w:t>
      </w:r>
      <w:r w:rsidRPr="002A4E21">
        <w:rPr>
          <w:rFonts w:ascii="Kristen ITC" w:hAnsi="Kristen ITC"/>
          <w:sz w:val="24"/>
          <w:szCs w:val="24"/>
        </w:rPr>
        <w:lastRenderedPageBreak/>
        <w:t xml:space="preserve">ulteriormente rafforzata proprio dai recenti interventi normativi che, come visto sopra in materia di trasparenza, sono chiaramente indirizzati agli enti e alle società in questione.  La ratio sottesa alla legge n. 190 del 2012 e ai decreti di attuazione appare, infatti, quella di estendere le misure di prevenzione della corruzione e di trasparenza, e i relativi strumenti di programmazione, a soggetti che, indipendentemente dalla natura giuridica, sono controllati dalle amministrazioni pubbliche, si avvalgono di risorse pubbliche, svolgono funzioni pubbliche o attività di pubblico interesse.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Un profilo di carattere generale che l’Autorità ha inteso affrontare nelle presenti Linee guida riguarda, come anticipato sopra, l’adeguamento dei contenuti di alcune norme che, dando per presupposti modelli organizzativi uniformi, mal si attagliano, non solo alle diverse tipologie di pubbliche amministrazioni, ma anche a soggetti con natura privatistica. Nel valutare gli adeguamenti, l’Autorità ha tenuto conto della particolare struttura e della disciplina di riferimento dei soggetti che assumono veste giuridica privata e delle esigenze di tutela della riservatezza e delle attività economiche e commerciali da essi svolte in regime concorrenziale. Per quel che riguarda le indicazioni relative all’individuazione e alla gestione del rischio, ad esempio, si è tenuto conto della necessità di coordinare quanto previsto nella legge n. 190 del 2012 per i piani di prevenzione della corruzione con le disposizioni del d.lgs. n. 231 del 2001, sia in termini di modello di organizzazione e gestione che di controlli e di responsabilità. Esigenze di maggiori adeguamenti sono emerse per l’applicazione della normativa sulla trasparenza alle società e agli enti controllati e partecipati ai sensi del d.lgs. n. 33/2013 di cui si dà conto nell’allegato alla presente delibera.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Conclusivamente, l’Autorità non può non rilevare - anche alla luce delle numerose richieste di chiarimenti pervenute - che il quadro normativo che emerge dalla legge n. 190 del 2012 e dai decreti di attuazione è particolarmente complesso, non coordinato, fonte di incertezze interpretative, non tenendo adeguatamente conto delle esigenze di differenziazione in relazione ai soggetti, pubblici e privati, a cui si applica. È pertanto auspicio dell’Autorità, in una revisione del quadro legislativo, quale sembra prospettarsi nell’attuale fase di discussione del </w:t>
      </w:r>
      <w:proofErr w:type="spellStart"/>
      <w:r w:rsidRPr="002A4E21">
        <w:rPr>
          <w:rFonts w:ascii="Kristen ITC" w:hAnsi="Kristen ITC"/>
          <w:sz w:val="24"/>
          <w:szCs w:val="24"/>
        </w:rPr>
        <w:t>d.d.l.</w:t>
      </w:r>
      <w:proofErr w:type="spellEnd"/>
      <w:r w:rsidRPr="002A4E21">
        <w:rPr>
          <w:rFonts w:ascii="Kristen ITC" w:hAnsi="Kristen ITC"/>
          <w:sz w:val="24"/>
          <w:szCs w:val="24"/>
        </w:rPr>
        <w:t xml:space="preserve"> A.C. n. 3098 «Deleghe al Governo in materia di riorganizzazione delle amministrazioni pubbliche» già approvato dal Senato della Repubblica il 30 aprile 2015, che il Parlamento e il </w:t>
      </w:r>
      <w:r w:rsidRPr="002A4E21">
        <w:rPr>
          <w:rFonts w:ascii="Kristen ITC" w:hAnsi="Kristen ITC"/>
          <w:sz w:val="24"/>
          <w:szCs w:val="24"/>
        </w:rPr>
        <w:lastRenderedPageBreak/>
        <w:t xml:space="preserve">Governo intervengano per risolvere e superare lacune, dubbi e difficoltà interpretative e favorire, così, una più efficace applicazione delle misure di prevenzione della corruzione e di trasparenza.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Autorità Nazionale Anticorruzione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9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2. Le società in controllo pubblico e le società a partecipazione pubblica non di controllo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Per definire l’ambito soggettivo di applicazione della normativa in materia di prevenzione della corruzione e di quella in materia di trasparenza alle società pubbliche, ad avviso dell’Autorità, occorre tenere distinte le società direttamente o indirettamente controllate dalle amministrazioni pubbliche, individuate ai sensi dell’art. 2359, co. 1, numeri 1 e 2, del codice civile, e quelle, come definite all’art. 11, comma 3, del d.l.gs. n.33/2013, a partecipazione pubblica non maggioritaria, in cui, cioè, la partecipazione pubblica non è idonea a determinare una situazione di controllo (di seguito “società a partecipazione pubblica non di controllo”). Dal novero delle società controllate si ritiene di escludere in via interpretativa la fattispecie di cui al n. 3 del co. 1 dell’art. 2359 del codice civile, (c.d. controllo contrattuale) che non presuppone alcuna partecipazione di pubbliche amministrazioni al capitale di una società, laddove il criterio di individuazione dei soggetti sottoposti alla normativa anticorruzione privilegiato dal legislatore, anche alla luce dell’art. 11 co. 3 del d.lgs. n. 33/2013 e dell’art. 1, comma 2, </w:t>
      </w:r>
      <w:proofErr w:type="spellStart"/>
      <w:r w:rsidRPr="002A4E21">
        <w:rPr>
          <w:rFonts w:ascii="Kristen ITC" w:hAnsi="Kristen ITC"/>
          <w:sz w:val="24"/>
          <w:szCs w:val="24"/>
        </w:rPr>
        <w:t>lett</w:t>
      </w:r>
      <w:proofErr w:type="spellEnd"/>
      <w:r w:rsidRPr="002A4E21">
        <w:rPr>
          <w:rFonts w:ascii="Kristen ITC" w:hAnsi="Kristen ITC"/>
          <w:sz w:val="24"/>
          <w:szCs w:val="24"/>
        </w:rPr>
        <w:t xml:space="preserve">. c) del d.lgs. n. 39/2013 appare connesso alla presenza di una partecipazione al capitale o all’esercizio di poteri di nomina dei vertici o dei componenti degli organi. In caso contrario, l’ambito di applicazione della disciplina di prevenzione della corruzione potrebbe essere estesa a soggetti sicuramente estranei al settore pubblico. Ciò non toglie, tuttavia, che qualora sussista un rapporto tra pubblica amministrazione e </w:t>
      </w:r>
      <w:r w:rsidRPr="002A4E21">
        <w:rPr>
          <w:rFonts w:ascii="Kristen ITC" w:hAnsi="Kristen ITC"/>
          <w:sz w:val="24"/>
          <w:szCs w:val="24"/>
        </w:rPr>
        <w:lastRenderedPageBreak/>
        <w:t xml:space="preserve">società del genere di quello definito nel n. 3 dell’art. 2359 c.c., l’amministrazione sia tenuta a inserire nel proprio Piano triennale di prevenzione della corruzione misure anche di vigilanza e trasparenza relative alle attività svolte dalla società in ragione dei vincoli contrattuali con l’amministrazione stessa.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In considerazione della peculiare configurazione del rapporto di controllo che le amministrazioni hanno con le società in </w:t>
      </w:r>
      <w:proofErr w:type="spellStart"/>
      <w:r w:rsidRPr="002A4E21">
        <w:rPr>
          <w:rFonts w:ascii="Kristen ITC" w:hAnsi="Kristen ITC"/>
          <w:sz w:val="24"/>
          <w:szCs w:val="24"/>
        </w:rPr>
        <w:t>house</w:t>
      </w:r>
      <w:proofErr w:type="spellEnd"/>
      <w:r w:rsidRPr="002A4E21">
        <w:rPr>
          <w:rFonts w:ascii="Kristen ITC" w:hAnsi="Kristen ITC"/>
          <w:sz w:val="24"/>
          <w:szCs w:val="24"/>
        </w:rPr>
        <w:t xml:space="preserve">, queste ultime rientrano, a maggior ragione, nell’ambito delle società controllate cui si applicano le norme di prevenzione della corruzione ai sensi della legge n. 190/2012.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La distinzione tra società in controllo pubblico e società a partecipazione pubblica non di controllo non ha carattere meramente formale bensì conforma, in modo differenziato, l’applicazione della normativa anticorruzione, in ragione del diverso grado di coinvolgimento delle pubbliche amministrazioni all’interno delle due diverse tipologie di società.  Infatti, occorre muovere dallo spirito della normativa che è quello di prevenire l’insorgere di fenomeni corruttivi nei settori più esposti ai rischi dove sono coinvolte pubbliche amministrazioni, risorse pubbliche o la cura di interessi pubblici: poiché l’influenza che l’amministrazione esercita sulle società in controllo pubblico è più penetrante di quello che deriva dalla mera partecipazione, ciò consente di ritenere che le società controllate siano esposte a rischi analoghi a quelli che il legislatore ha inteso prevenire con la normativa anticorruzione del 2012 in relazione all’amministrazione controllante. Queste stesse esigenze si ravvisano anche quando il controllo sulla società sia esercitato congiuntamente da una pluralità di amministrazioni, cioè in caso di partecipazione frazionata fra più amministrazioni in grado di determinare una situazione in cui la società sia in mano pubblica.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Ciò impone che le società controllate debbano necessariamente rafforzare i presidi anticorruzione già adottati ai sensi del d.lgs. n. 231/2001 ovvero introdurre apposite misure anticorruzione ai sensi della legge n. 190/2012 ove assente il modello di organizzazione e gestione ex 231/2001.  </w:t>
      </w:r>
    </w:p>
    <w:p w:rsidR="002A4E21" w:rsidRPr="002A4E21" w:rsidRDefault="002A4E21" w:rsidP="002A4E21">
      <w:pPr>
        <w:jc w:val="both"/>
        <w:rPr>
          <w:rFonts w:ascii="Kristen ITC" w:hAnsi="Kristen ITC"/>
          <w:sz w:val="24"/>
          <w:szCs w:val="24"/>
        </w:rPr>
      </w:pP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lastRenderedPageBreak/>
        <w:t xml:space="preserve"> Autorità Nazionale Anticorruzione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10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Le presenti Linee guida muovono dal presupposto fondamentale che le amministrazioni controllanti debbano assicurare l’adozione del modello di organizzazione e gestione previsto dal d.lgs. n. 231/2001 da parte delle società controllate.  Oneri minori gravano, come si vedrà, per le società a partecipazione pubblica non di controllo, nei confronti delle quali le amministrazioni partecipanti si attivano per promuovere l’adozione del suddetto modello organizzativo.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Come sopra già osservato, il fenomeno delle società pubbliche è particolarmente complesso ed eterogeneo, specie a livello territoriale. Al fine di individuare concretamente le società tenute all’applicazione delle norme, si raccomanda alle amministrazioni controllanti o partecipanti di dare attuazione a quanto previsto dall’art. 22, co. 1, del d.lgs. n. 33 del 2013 pubblicando sul proprio sito istituzionale la lista delle società a cui partecipano o che controllano “con l’elencazione delle funzioni attribuite e delle attività svolte in favore delle amministrazioni o delle attività di servizio pubblico affidate”. All’interno di gruppi societari l’individuazione del tipo di società, se in controllo pubblico o a partecipazione pubblica non di controllo, deve essere fatta con riguardo ad ogni singola società del gruppo, indipendentemente dalla natura della capogruppo.  L’individuazione puntuale da parte delle amministrazioni delle società in questione, oltre che corrispondere ad un obbligo di legge, è necessaria per consentire all’A.N.AC. </w:t>
      </w:r>
      <w:proofErr w:type="gramStart"/>
      <w:r w:rsidRPr="002A4E21">
        <w:rPr>
          <w:rFonts w:ascii="Kristen ITC" w:hAnsi="Kristen ITC"/>
          <w:sz w:val="24"/>
          <w:szCs w:val="24"/>
        </w:rPr>
        <w:t>di</w:t>
      </w:r>
      <w:proofErr w:type="gramEnd"/>
      <w:r w:rsidRPr="002A4E21">
        <w:rPr>
          <w:rFonts w:ascii="Kristen ITC" w:hAnsi="Kristen ITC"/>
          <w:sz w:val="24"/>
          <w:szCs w:val="24"/>
        </w:rPr>
        <w:t xml:space="preserve"> esercitare i propri poteri di vigilanza.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2.1. Le società in controllo pubblico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La legge n. 190 del 2012 menziona espressamente tra i soggetti tenuti all’applicazione della normativa anticorruzione i soggetti di diritto privato sottoposti al controllo di regioni, province autonome e enti locali (art. 1, co. 60). Analoga disposizione non </w:t>
      </w:r>
      <w:r w:rsidRPr="002A4E21">
        <w:rPr>
          <w:rFonts w:ascii="Kristen ITC" w:hAnsi="Kristen ITC"/>
          <w:sz w:val="24"/>
          <w:szCs w:val="24"/>
        </w:rPr>
        <w:lastRenderedPageBreak/>
        <w:t xml:space="preserve">si rinviene per le società controllate dallo Stato. Tuttavia, come visto sopra, numerose disposizioni normative della stessa legge n. 190 del 2012 e dei decreti delegati si riferiscono a questi soggetti. In considerazione di ciò e della espressa menzione dei soggetti di diritto privato in controllo delle autonomie territoriali, ad avviso dell’Autorità, secondo criteri di ragionevolezza e di proporzionalità, la norma non può che ricevere una interpretazione costituzionalmente orientata volta a ricomprendere nel novero dei destinatari anche gli enti di diritto privato controllati dalle amministrazioni centrali, atteso che gli stessi sono esposti ai medesimi rischi che il legislatore ha inteso prevenire con la normativa anticorruzione in relazione alle amministrazioni pubbliche e agli enti di diritto privato sottoposti al controllo da parte delle amministrazioni territoriali.   Questa interpretazione sembra peraltro coerente con quanto previsto in materia di incompatibilità ed </w:t>
      </w:r>
      <w:proofErr w:type="spellStart"/>
      <w:r w:rsidRPr="002A4E21">
        <w:rPr>
          <w:rFonts w:ascii="Kristen ITC" w:hAnsi="Kristen ITC"/>
          <w:sz w:val="24"/>
          <w:szCs w:val="24"/>
        </w:rPr>
        <w:t>inconferibilità</w:t>
      </w:r>
      <w:proofErr w:type="spellEnd"/>
      <w:r w:rsidRPr="002A4E21">
        <w:rPr>
          <w:rFonts w:ascii="Kristen ITC" w:hAnsi="Kristen ITC"/>
          <w:sz w:val="24"/>
          <w:szCs w:val="24"/>
        </w:rPr>
        <w:t xml:space="preserve"> degli incarichi, dall’art. 15, co. 1, del d.lgs. n. 39 del 2013 sopra richiamato, da cui si evince che anche in ogni ente di diritto privato in controllo pubblico, nazionale o locale, debba essere nominato un responsabile del Piano anticorruzione di ciascuna amministrazione pubblica, ente pubblico e ente di diritto privato in controllo pubblico e adottato un Piano anticorruzione.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Autorità Nazionale Anticorruzione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11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Come detto in precedenza, per individuare le società controllate tenute all’applicazione della normativa sulla prevenzione della corruzione e per la promozione della trasparenza occorre fare riferimento alla nozione di controllo prevista dall’art. 2359, in particolare dal co. 1, n. 1) e 2), del codice civile, ossia quando la pubblica amministrazione dispone della maggioranza dei voti esercitabili nell’assemblea ordinaria (art. 2359, co. 1, n. 1), ovvero di voti sufficienti per esercitare una influenza dominante nell’assemblea ordinaria (art. 2359, co. 1, n. 2)3. Come sopra indicato, tra le società in controllo pubblico rientrano anche le società </w:t>
      </w:r>
      <w:r w:rsidRPr="002A4E21">
        <w:rPr>
          <w:rFonts w:ascii="Kristen ITC" w:hAnsi="Kristen ITC"/>
          <w:sz w:val="24"/>
          <w:szCs w:val="24"/>
        </w:rPr>
        <w:lastRenderedPageBreak/>
        <w:t xml:space="preserve">in </w:t>
      </w:r>
      <w:proofErr w:type="spellStart"/>
      <w:r w:rsidRPr="002A4E21">
        <w:rPr>
          <w:rFonts w:ascii="Kristen ITC" w:hAnsi="Kristen ITC"/>
          <w:sz w:val="24"/>
          <w:szCs w:val="24"/>
        </w:rPr>
        <w:t>house</w:t>
      </w:r>
      <w:proofErr w:type="spellEnd"/>
      <w:r w:rsidRPr="002A4E21">
        <w:rPr>
          <w:rFonts w:ascii="Kristen ITC" w:hAnsi="Kristen ITC"/>
          <w:sz w:val="24"/>
          <w:szCs w:val="24"/>
        </w:rPr>
        <w:t xml:space="preserve"> e quelle in cui il controllo sia esercitato da una pluralità di amministrazioni congiuntamente.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2.1.1.  Le misure organizzative per la prevenzione della 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Nella prospettiva sopra evidenziata, le misure introdotte dalla l. n. 190 del 2012 ai fini di prevenzione della corruzione si applicano alle società controllate, direttamente o indirettamente, dalle pubbliche amministrazioni. Questo vale anche qualora le società abbiano già adottato il modello di organizzazione e gestione previsto dal d.lgs. n. 231 del 2001. A tale riguardo, come sopra precisato, le amministrazioni controllanti sono chiamate ad assicurare che dette società, laddove non abbiano provveduto, adottino un modello di organizzazione e gestione ai sensi del d.lgs. n. 231 del 2001. Depone in tal senso il tenore letterale dell’art. 1 del d.lgs. n. 231/2001 che dispone espressamente che le sue disposizioni non si applicano solo «allo Stato, agli enti pubblici territoriali, agli altri enti pubblici non economici nonché agli enti che svolgono funzioni di rilievo costituzionale».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Come è noto l’ambito di applicazione della legge n. 190 del 2012 e quello del d.lgs. n. 231 del 2001 non coincidono e, nonostante l’analogia di fondo dei due sistemi, finalizzati entrambi a prevenire la commissione di reati nonché ad esonerare da responsabilità gli organi preposti qualora le misure adottate siano adeguate, sussistono differenze significative tra i due sistemi normativi. In particolare, quanto alla tipologia dei reati da prevenire, il d.lgs. n. 231 del 2001 ha riguardo ai reati commessi nell’interesse o a vantaggio della società o che comunque siano stati commessi anche e nell’interesse di questa (art. 5), diversamente dalla legge 190 che è volta a prevenire anche reati commessi in danno della società. In relazione ai fatti di corruzione, il decreto legislativo 231 del 2001 fa riferimento alle fattispecie tipiche di concussione, induzione indebita a dare o promettere utilità e corruzione, nonché alla corruzione tra privati, fattispecie dalle quali la società deve trarre un vantaggio perché possa risponderne.  La legge n. 190 del 2012, ad avviso dell’Autorità, fa riferimento, invece, ad un concetto più ampio di corruzione, in cui rilevano non solo l’intera gamma dei reati contro la p.a. disciplinati dal Titolo II del Libro II del codice penale, ma anche le situazioni di “cattiva amministrazione”, nelle </w:t>
      </w:r>
      <w:r w:rsidRPr="002A4E21">
        <w:rPr>
          <w:rFonts w:ascii="Kristen ITC" w:hAnsi="Kristen ITC"/>
          <w:sz w:val="24"/>
          <w:szCs w:val="24"/>
        </w:rPr>
        <w:lastRenderedPageBreak/>
        <w:t xml:space="preserve">quali vanno compresi tutti i casi di deviazione significativa, dei comportamenti e delle decisioni, dalla cura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3 Per quanto riguarda il c.d. “controllo di fatto” cfr. Tribunale di Venezia, decreto 10 febbraio 2011, ove si afferma che «Mentre il controllo di una società su un’altra è presunto in caso di maggioranza dei voti esercitabili nell’assemblea ordinaria, per dimostrare “l’influenza dominante” è indispensabile verificare in concreto l’andamento delle assemblee della partecipata per un arco di tempo ragionevolmente significativo, al fine di valutare se vi sia stata un’effettiva capacità di controllo da parte dell’asserita controllante».  </w:t>
      </w:r>
    </w:p>
    <w:p w:rsidR="002A4E21" w:rsidRPr="002A4E21" w:rsidRDefault="002A4E21" w:rsidP="002A4E21">
      <w:pPr>
        <w:jc w:val="both"/>
        <w:rPr>
          <w:rFonts w:ascii="Kristen ITC" w:hAnsi="Kristen ITC"/>
          <w:sz w:val="24"/>
          <w:szCs w:val="24"/>
        </w:rPr>
      </w:pP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Autorità Nazionale Anticorruzione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12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proofErr w:type="gramStart"/>
      <w:r w:rsidRPr="002A4E21">
        <w:rPr>
          <w:rFonts w:ascii="Kristen ITC" w:hAnsi="Kristen ITC"/>
          <w:sz w:val="24"/>
          <w:szCs w:val="24"/>
        </w:rPr>
        <w:t>imparziale</w:t>
      </w:r>
      <w:proofErr w:type="gramEnd"/>
      <w:r w:rsidRPr="002A4E21">
        <w:rPr>
          <w:rFonts w:ascii="Kristen ITC" w:hAnsi="Kristen ITC"/>
          <w:sz w:val="24"/>
          <w:szCs w:val="24"/>
        </w:rPr>
        <w:t xml:space="preserve"> dell’interesse pubblico, cioè le situazioni nelle quali interessi privati condizionino impropriamente l’azione delle amministrazioni o degli enti, sia che tale condizionamento abbia avuto successo, sia nel caso in cui rimanga a livello di tentativo. Con la conseguenza che la responsabilità a carico del Responsabile della prevenzione della corruzione (responsabilità dirigenziale, disciplinare ed erariale, prevista dall’art. 1, comma 12, della legge n. 190/2012) si concretizza al verificarsi del genere di delitto sopra indicato commesso anche in danno della società, se il responsabile non prova di aver predisposto un piano di prevenzione della corruzione adeguato a prevenire i rischi e di aver efficacemente vigilato sull’attuazione dello stesso.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Alla luce di quanto sopra e in una logica di coordinamento delle misure e di semplificazione degli adempimenti, le società integrano il modello di organizzazione e gestione ex d.lgs. n. 231 del 2001 con misure idonee a prevenire anche i fenomeni di corruzione e di illegalità all’interno delle società in coerenza con le finalità della legge n. 190 del 2012. Queste misure devono fare riferimento a tutte le attività svolte dalla società ed è necessario siano ricondotte in un documento unitario che </w:t>
      </w:r>
      <w:r w:rsidRPr="002A4E21">
        <w:rPr>
          <w:rFonts w:ascii="Kristen ITC" w:hAnsi="Kristen ITC"/>
          <w:sz w:val="24"/>
          <w:szCs w:val="24"/>
        </w:rPr>
        <w:lastRenderedPageBreak/>
        <w:t xml:space="preserve">tiene luogo del Piano di prevenzione della corruzione anche ai fini della valutazione dell’aggiornamento annuale e della vigilanza dell’A.N.AC. Se riunite in un unico documento con quelle adottate in attuazione del d.lgs. n. 231/2001, dette misure sono collocate in una sezione apposita e dunque chiaramente identificabili tenuto conto che ad esse sono correlate forme di gestione e responsabilità differenti.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Le misure volte alla prevenzione dei fatti di corruzione ex </w:t>
      </w:r>
      <w:proofErr w:type="spellStart"/>
      <w:r w:rsidRPr="002A4E21">
        <w:rPr>
          <w:rFonts w:ascii="Kristen ITC" w:hAnsi="Kristen ITC"/>
          <w:sz w:val="24"/>
          <w:szCs w:val="24"/>
        </w:rPr>
        <w:t>lege</w:t>
      </w:r>
      <w:proofErr w:type="spellEnd"/>
      <w:r w:rsidRPr="002A4E21">
        <w:rPr>
          <w:rFonts w:ascii="Kristen ITC" w:hAnsi="Kristen ITC"/>
          <w:sz w:val="24"/>
          <w:szCs w:val="24"/>
        </w:rPr>
        <w:t xml:space="preserve"> n. 190/2012 sono elaborate dal Responsabile della prevenzione della corruzione in stretto coordinamento con l’Organismo di vigilanza e sono adottate dall’organo di indirizzo della società, individuato nel Consiglio di amministrazione o in altro organo con funzioni equivalenti.  Al riguardo, si fa presente che l’attività di elaborazione delle misure di prevenzione della corruzione ex </w:t>
      </w:r>
      <w:proofErr w:type="spellStart"/>
      <w:r w:rsidRPr="002A4E21">
        <w:rPr>
          <w:rFonts w:ascii="Kristen ITC" w:hAnsi="Kristen ITC"/>
          <w:sz w:val="24"/>
          <w:szCs w:val="24"/>
        </w:rPr>
        <w:t>lege</w:t>
      </w:r>
      <w:proofErr w:type="spellEnd"/>
      <w:r w:rsidRPr="002A4E21">
        <w:rPr>
          <w:rFonts w:ascii="Kristen ITC" w:hAnsi="Kristen ITC"/>
          <w:sz w:val="24"/>
          <w:szCs w:val="24"/>
        </w:rPr>
        <w:t xml:space="preserve"> n. 190/2012 non può essere affidata a soggetti estranei alla società (art. 1, co. 8, legge n. 190 del 2012). Una volta adottate, ad esse viene data adeguata pubblicità sia all’interno della società, con modalità che ogni società definisce autonomamente, sia all’esterno, con la pubblicazione sul sito web della società. Qualora la società non abbia un sito internet, sarà cura dell’amministrazione controllante rendere disponibile una sezione del proprio sito in cui la società controllata possa pubblicare i propri dati, ivi incluse le misure individuate per la prevenzione della corruzione ex </w:t>
      </w:r>
      <w:proofErr w:type="spellStart"/>
      <w:r w:rsidRPr="002A4E21">
        <w:rPr>
          <w:rFonts w:ascii="Kristen ITC" w:hAnsi="Kristen ITC"/>
          <w:sz w:val="24"/>
          <w:szCs w:val="24"/>
        </w:rPr>
        <w:t>lege</w:t>
      </w:r>
      <w:proofErr w:type="spellEnd"/>
      <w:r w:rsidRPr="002A4E21">
        <w:rPr>
          <w:rFonts w:ascii="Kristen ITC" w:hAnsi="Kristen ITC"/>
          <w:sz w:val="24"/>
          <w:szCs w:val="24"/>
        </w:rPr>
        <w:t xml:space="preserve"> n. 190/2012, ferme restando le rispettive responsabilità.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In caso di società indirettamente controllate, la capogruppo assicura che le stesse adottino le misure di prevenzione della corruzione ex </w:t>
      </w:r>
      <w:proofErr w:type="spellStart"/>
      <w:r w:rsidRPr="002A4E21">
        <w:rPr>
          <w:rFonts w:ascii="Kristen ITC" w:hAnsi="Kristen ITC"/>
          <w:sz w:val="24"/>
          <w:szCs w:val="24"/>
        </w:rPr>
        <w:t>lege</w:t>
      </w:r>
      <w:proofErr w:type="spellEnd"/>
      <w:r w:rsidRPr="002A4E21">
        <w:rPr>
          <w:rFonts w:ascii="Kristen ITC" w:hAnsi="Kristen ITC"/>
          <w:sz w:val="24"/>
          <w:szCs w:val="24"/>
        </w:rPr>
        <w:t xml:space="preserve"> n. 190/2012 in coerenza con quelle della capogruppo. Laddove nell’ambito del gruppo vi siano società di ridotte dimensioni, in particolare che svolgono attività strumentali, la società capogruppo con delibera motivata in base a ragioni oggettive, può introdurre le misure di prevenzione della corruzione ex </w:t>
      </w:r>
      <w:proofErr w:type="spellStart"/>
      <w:r w:rsidRPr="002A4E21">
        <w:rPr>
          <w:rFonts w:ascii="Kristen ITC" w:hAnsi="Kristen ITC"/>
          <w:sz w:val="24"/>
          <w:szCs w:val="24"/>
        </w:rPr>
        <w:t>lege</w:t>
      </w:r>
      <w:proofErr w:type="spellEnd"/>
      <w:r w:rsidRPr="002A4E21">
        <w:rPr>
          <w:rFonts w:ascii="Kristen ITC" w:hAnsi="Kristen ITC"/>
          <w:sz w:val="24"/>
          <w:szCs w:val="24"/>
        </w:rPr>
        <w:t xml:space="preserve"> n. 190/2012 relative alle predette società nel proprio modello ex 231/2001. In tal caso, il RPC della capogruppo è responsabile dell’attuazione delle misure anche all’interno delle società di ridotte dimensioni. Ciascuna società deve, però, nominare all’interno della propria organizzazione un referente del Responsabile della prevenzione della corruzione della capogruppo.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p>
    <w:p w:rsidR="002A4E21" w:rsidRPr="002A4E21" w:rsidRDefault="002A4E21" w:rsidP="002A4E21">
      <w:pPr>
        <w:jc w:val="both"/>
        <w:rPr>
          <w:rFonts w:ascii="Kristen ITC" w:hAnsi="Kristen ITC"/>
          <w:sz w:val="24"/>
          <w:szCs w:val="24"/>
        </w:rPr>
      </w:pPr>
      <w:r w:rsidRPr="002A4E21">
        <w:rPr>
          <w:rFonts w:ascii="Kristen ITC" w:hAnsi="Kristen ITC"/>
          <w:sz w:val="24"/>
          <w:szCs w:val="24"/>
        </w:rPr>
        <w:lastRenderedPageBreak/>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Autorità Nazionale Anticorruzione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13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Nell’ ipotesi residuale in cui una società non abbia adottato un modello di organizzazione e gestione ai sensi del d.lgs. n. 231/2001 è tenuta, a maggior ragione, a programmare e ad approvare adeguate misure allo scopo </w:t>
      </w:r>
      <w:proofErr w:type="gramStart"/>
      <w:r w:rsidRPr="002A4E21">
        <w:rPr>
          <w:rFonts w:ascii="Kristen ITC" w:hAnsi="Kristen ITC"/>
          <w:sz w:val="24"/>
          <w:szCs w:val="24"/>
        </w:rPr>
        <w:t>di  prevenire</w:t>
      </w:r>
      <w:proofErr w:type="gramEnd"/>
      <w:r w:rsidRPr="002A4E21">
        <w:rPr>
          <w:rFonts w:ascii="Kristen ITC" w:hAnsi="Kristen ITC"/>
          <w:sz w:val="24"/>
          <w:szCs w:val="24"/>
        </w:rPr>
        <w:t xml:space="preserve"> i fatti corruttivi in coerenza con le finalità delle legge n. 190/2012 e secondo le modalità sopra indicate. Le misure sono contenute in un apposito atto di programmazione, o Piano, da pubblicare sul sito istituzionale. Dette misure è opportuno siano costantemente monitorate anche al fine di valutare, almeno annualmente, la necessità del loro aggiornamento.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Le società, che abbiano o meno adottato il modello di organizzazione e gestione ex d.lgs. 231/2001, definiscono le misure per la prevenzione della corruzione in relazione alle funzioni svolte e alla propria specificità organizzativa.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Di seguito si indicano i contenuti minimi delle misure.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Individuazione e gestione dei rischi di corruzione In coerenza con quanto previsto dall’art. 1, co. 9, della legge n. 190/2012 e dall’art. 6, co. 2, del d.lgs. n. 231/2001, le società effettuano un’analisi del contesto e della realtà organizzativa per individuare in quali aree o settori di attività e secondo quali modalità si potrebbero astrattamente verificare fatti corruttivi. Tra le attività esposte al rischio di corruzione vanno considerate in prima istanza quelle elencate dall’art. 1, co. 16, della legge n. 190 del 2012 (autorizzazioni e concessioni, appalti e contratti, sovvenzioni e finanziamenti, selezione e gestione del personale), cui si aggiungono ulteriori aree individuate da ciascuna società in base alle proprie caratteristiche organizzative e funzionali. Fra queste, a titolo esemplificativo, possono rientrare l’area dei controlli, l’area economico finanziaria, l’area delle relazioni esterne e le </w:t>
      </w:r>
      <w:proofErr w:type="gramStart"/>
      <w:r w:rsidRPr="002A4E21">
        <w:rPr>
          <w:rFonts w:ascii="Kristen ITC" w:hAnsi="Kristen ITC"/>
          <w:sz w:val="24"/>
          <w:szCs w:val="24"/>
        </w:rPr>
        <w:t>aree  in</w:t>
      </w:r>
      <w:proofErr w:type="gramEnd"/>
      <w:r w:rsidRPr="002A4E21">
        <w:rPr>
          <w:rFonts w:ascii="Kristen ITC" w:hAnsi="Kristen ITC"/>
          <w:sz w:val="24"/>
          <w:szCs w:val="24"/>
        </w:rPr>
        <w:t xml:space="preserve"> cui vengono gestiti i rapporti fra amministratori pubblici e soggetti privati. Nella individuazione delle aree a rischio è necessario che si tenga conto di quanto emerso in provvedimenti giurisdizionali, anche non definitivi, allorché dagli stessi risulti l’esposizione dell’area organizzativa o della sfera di attività a particolari </w:t>
      </w:r>
      <w:r w:rsidRPr="002A4E21">
        <w:rPr>
          <w:rFonts w:ascii="Kristen ITC" w:hAnsi="Kristen ITC"/>
          <w:sz w:val="24"/>
          <w:szCs w:val="24"/>
        </w:rPr>
        <w:lastRenderedPageBreak/>
        <w:t xml:space="preserve">rischi.  L’analisi, finalizzata a una corretta programmazione delle misure preventive, deve condurre a una rappresentazione, il più possibile completa, di come i fatti di </w:t>
      </w:r>
      <w:proofErr w:type="spellStart"/>
      <w:r w:rsidRPr="002A4E21">
        <w:rPr>
          <w:rFonts w:ascii="Kristen ITC" w:hAnsi="Kristen ITC"/>
          <w:sz w:val="24"/>
          <w:szCs w:val="24"/>
        </w:rPr>
        <w:t>maladministration</w:t>
      </w:r>
      <w:proofErr w:type="spellEnd"/>
      <w:r w:rsidRPr="002A4E21">
        <w:rPr>
          <w:rFonts w:ascii="Kristen ITC" w:hAnsi="Kristen ITC"/>
          <w:sz w:val="24"/>
          <w:szCs w:val="24"/>
        </w:rPr>
        <w:t xml:space="preserve"> e le fattispecie di reato possono essere contrastate nel contesto operativo interno ed esterno dell’ente. Ne consegue che si dovrà riportare una «mappa» delle aree a rischio e dei connessi reati di corruzione nonché l’individuazione delle misure di prevenzione. In merito alla gestione del rischio, rimane ferma l’indicazione, sia pure non vincolante, contenuta nel PNA, ai principi e alle linee guida UNI ISO 31000:2010.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Sistema di controlli La definizione di un sistema di gestione del rischio si completa con una valutazione del sistema di controllo interno previsto dal modello di organizzazione e gestione del rischio sulla base del d.lgs. n. 231 del 2001, ove esistente, e con il suo adeguamento quando ciò si riveli necessario, ovvero con l’introduzione di nuovi principi e strutture di controllo quando l’ente risulti sprovvisto di un sistema atto a prevenire i rischi di corruzione. In ogni caso, è quanto mai opportuno, anche in una logica di semplificazione, che sia assicurato il coordinamento tra i controlli per la prevenzione dei rischi di cui al d.lgs. n. 231 del 2001 e quelli per la prevenzione di rischi di corruzione di cui alla l. n. 190 del 2012, nonché quello tra le funzioni del Responsabile della prevenzione della corruzione e quelle degli altri </w:t>
      </w:r>
    </w:p>
    <w:p w:rsidR="002A4E21" w:rsidRPr="002A4E21" w:rsidRDefault="002A4E21" w:rsidP="002A4E21">
      <w:pPr>
        <w:jc w:val="both"/>
        <w:rPr>
          <w:rFonts w:ascii="Kristen ITC" w:hAnsi="Kristen ITC"/>
          <w:sz w:val="24"/>
          <w:szCs w:val="24"/>
        </w:rPr>
      </w:pP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Autorità Nazionale Anticorruzione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14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proofErr w:type="gramStart"/>
      <w:r w:rsidRPr="002A4E21">
        <w:rPr>
          <w:rFonts w:ascii="Kristen ITC" w:hAnsi="Kristen ITC"/>
          <w:sz w:val="24"/>
          <w:szCs w:val="24"/>
        </w:rPr>
        <w:t>organismi</w:t>
      </w:r>
      <w:proofErr w:type="gramEnd"/>
      <w:r w:rsidRPr="002A4E21">
        <w:rPr>
          <w:rFonts w:ascii="Kristen ITC" w:hAnsi="Kristen ITC"/>
          <w:sz w:val="24"/>
          <w:szCs w:val="24"/>
        </w:rPr>
        <w:t xml:space="preserve"> di controllo, con particolare riguardo al flusso di informazioni a supporto delle attività svolte dal Responsabile.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Codice di comportamento Le società integrano il codice etico o di comportamento già approvato ai sensi del d.lgs. n. 231/2001 oppure adottano un apposito codice, laddove sprovviste, avendo cura in ogni caso di attribuire particolare importanza ai comportamenti rilevanti ai fini della prevenzione dei reati </w:t>
      </w:r>
      <w:r w:rsidRPr="002A4E21">
        <w:rPr>
          <w:rFonts w:ascii="Kristen ITC" w:hAnsi="Kristen ITC"/>
          <w:sz w:val="24"/>
          <w:szCs w:val="24"/>
        </w:rPr>
        <w:lastRenderedPageBreak/>
        <w:t xml:space="preserve">di corruzione. Il codice o le integrazioni a quello già adottato ai sensi del d.lgs. n 231/2001 hanno rilevanza ai fini della responsabilità disciplinare, analogamente ai codici di comportamento delle pubbliche amministrazioni: l’inosservanza, cioè, può dare luogo a misure disciplinari, ferma restando la natura privatistica delle stesse. Al fine di assicurare l’attuazione delle norme del codice è opportuno: a) garantire un adeguato supporto interpretativo, ove richiesto; b) prevedere un apparato sanzionatorio e i relativi meccanismi di attivazione auspicabilmente connessi ad un sistema per la raccolta di segnalazioni delle violazioni del codice.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Trasparenza Al fine di dare attuazione agli obblighi di pubblicazione ai sensi del d.lgs. n. 33/2013 e della normativa vigente, le società definiscono e adottano un “Programma triennale per la trasparenza e l’integrità” in cui sono individuate le misure organizzative volte ad assicurare la regolarità e la tempestività dei flussi delle informazioni da pubblicare, prevedendo anche uno specifico sistema delle responsabilità.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roofErr w:type="spellStart"/>
      <w:r w:rsidRPr="002A4E21">
        <w:rPr>
          <w:rFonts w:ascii="Kristen ITC" w:hAnsi="Kristen ITC"/>
          <w:sz w:val="24"/>
          <w:szCs w:val="24"/>
        </w:rPr>
        <w:t>Inconferibilità</w:t>
      </w:r>
      <w:proofErr w:type="spellEnd"/>
      <w:r w:rsidRPr="002A4E21">
        <w:rPr>
          <w:rFonts w:ascii="Kristen ITC" w:hAnsi="Kristen ITC"/>
          <w:sz w:val="24"/>
          <w:szCs w:val="24"/>
        </w:rPr>
        <w:t xml:space="preserve"> specifiche per gli incarichi di amministratore e per gli incarichi </w:t>
      </w:r>
      <w:proofErr w:type="gramStart"/>
      <w:r w:rsidRPr="002A4E21">
        <w:rPr>
          <w:rFonts w:ascii="Kristen ITC" w:hAnsi="Kristen ITC"/>
          <w:sz w:val="24"/>
          <w:szCs w:val="24"/>
        </w:rPr>
        <w:t>dirigenziali  Si</w:t>
      </w:r>
      <w:proofErr w:type="gramEnd"/>
      <w:r w:rsidRPr="002A4E21">
        <w:rPr>
          <w:rFonts w:ascii="Kristen ITC" w:hAnsi="Kristen ITC"/>
          <w:sz w:val="24"/>
          <w:szCs w:val="24"/>
        </w:rPr>
        <w:t xml:space="preserve"> ricorda che la materia delle incompatibilità e delle </w:t>
      </w:r>
      <w:proofErr w:type="spellStart"/>
      <w:r w:rsidRPr="002A4E21">
        <w:rPr>
          <w:rFonts w:ascii="Kristen ITC" w:hAnsi="Kristen ITC"/>
          <w:sz w:val="24"/>
          <w:szCs w:val="24"/>
        </w:rPr>
        <w:t>inconferibilità</w:t>
      </w:r>
      <w:proofErr w:type="spellEnd"/>
      <w:r w:rsidRPr="002A4E21">
        <w:rPr>
          <w:rFonts w:ascii="Kristen ITC" w:hAnsi="Kristen ITC"/>
          <w:sz w:val="24"/>
          <w:szCs w:val="24"/>
        </w:rPr>
        <w:t xml:space="preserve"> degli incarichi è disciplinata dal d.lgs. n. 39/2013.  All’interno delle società è necessario sia previsto un sistema di verifica della sussistenza di eventuali condizioni ostative in capo a coloro che rivestono incarichi di amministratore, come definiti dall’art. 1, co. 2, </w:t>
      </w:r>
      <w:proofErr w:type="spellStart"/>
      <w:r w:rsidRPr="002A4E21">
        <w:rPr>
          <w:rFonts w:ascii="Kristen ITC" w:hAnsi="Kristen ITC"/>
          <w:sz w:val="24"/>
          <w:szCs w:val="24"/>
        </w:rPr>
        <w:t>lett</w:t>
      </w:r>
      <w:proofErr w:type="spellEnd"/>
      <w:r w:rsidRPr="002A4E21">
        <w:rPr>
          <w:rFonts w:ascii="Kristen ITC" w:hAnsi="Kristen ITC"/>
          <w:sz w:val="24"/>
          <w:szCs w:val="24"/>
        </w:rPr>
        <w:t xml:space="preserve">. l), del d.lgs. n. 39/2013 - e cioè “gli incarichi di presidente con deleghe gestionali dirette, amministratore delegato e assimilabili, di altro organo di indirizzo dell’attività dell’ente comunque denominato” - e a coloro cui sono conferiti incarichi dirigenziali. Per gli amministratori, le cause ostative in questione sono specificate, in particolare, dalle seguenti disposizioni del d.lgs. n 39/2013: - art. 3, co. 1, </w:t>
      </w:r>
      <w:proofErr w:type="spellStart"/>
      <w:r w:rsidRPr="002A4E21">
        <w:rPr>
          <w:rFonts w:ascii="Kristen ITC" w:hAnsi="Kristen ITC"/>
          <w:sz w:val="24"/>
          <w:szCs w:val="24"/>
        </w:rPr>
        <w:t>lett</w:t>
      </w:r>
      <w:proofErr w:type="spellEnd"/>
      <w:r w:rsidRPr="002A4E21">
        <w:rPr>
          <w:rFonts w:ascii="Kristen ITC" w:hAnsi="Kristen ITC"/>
          <w:sz w:val="24"/>
          <w:szCs w:val="24"/>
        </w:rPr>
        <w:t xml:space="preserve">. d), relativamente alle </w:t>
      </w:r>
      <w:proofErr w:type="spellStart"/>
      <w:r w:rsidRPr="002A4E21">
        <w:rPr>
          <w:rFonts w:ascii="Kristen ITC" w:hAnsi="Kristen ITC"/>
          <w:sz w:val="24"/>
          <w:szCs w:val="24"/>
        </w:rPr>
        <w:t>inconferibilità</w:t>
      </w:r>
      <w:proofErr w:type="spellEnd"/>
      <w:r w:rsidRPr="002A4E21">
        <w:rPr>
          <w:rFonts w:ascii="Kristen ITC" w:hAnsi="Kristen ITC"/>
          <w:sz w:val="24"/>
          <w:szCs w:val="24"/>
        </w:rPr>
        <w:t xml:space="preserve"> di incarichi in caso di condanna per reati contro la pubblica amministrazione; - art. 6, sulle “</w:t>
      </w:r>
      <w:proofErr w:type="spellStart"/>
      <w:r w:rsidRPr="002A4E21">
        <w:rPr>
          <w:rFonts w:ascii="Kristen ITC" w:hAnsi="Kristen ITC"/>
          <w:sz w:val="24"/>
          <w:szCs w:val="24"/>
        </w:rPr>
        <w:t>inconferibilità</w:t>
      </w:r>
      <w:proofErr w:type="spellEnd"/>
      <w:r w:rsidRPr="002A4E21">
        <w:rPr>
          <w:rFonts w:ascii="Kristen ITC" w:hAnsi="Kristen ITC"/>
          <w:sz w:val="24"/>
          <w:szCs w:val="24"/>
        </w:rPr>
        <w:t xml:space="preserve"> di incarichi a componenti di organo politico di livello nazionale”; - art. 7, sulla “</w:t>
      </w:r>
      <w:proofErr w:type="spellStart"/>
      <w:r w:rsidRPr="002A4E21">
        <w:rPr>
          <w:rFonts w:ascii="Kristen ITC" w:hAnsi="Kristen ITC"/>
          <w:sz w:val="24"/>
          <w:szCs w:val="24"/>
        </w:rPr>
        <w:t>inconferibilità</w:t>
      </w:r>
      <w:proofErr w:type="spellEnd"/>
      <w:r w:rsidRPr="002A4E21">
        <w:rPr>
          <w:rFonts w:ascii="Kristen ITC" w:hAnsi="Kristen ITC"/>
          <w:sz w:val="24"/>
          <w:szCs w:val="24"/>
        </w:rPr>
        <w:t xml:space="preserve"> di incarichi a componenti di organo politico di livello regionale e locale”.  Per i dirigenti, si applica l’art.3, comma 1, </w:t>
      </w:r>
      <w:proofErr w:type="spellStart"/>
      <w:r w:rsidRPr="002A4E21">
        <w:rPr>
          <w:rFonts w:ascii="Kristen ITC" w:hAnsi="Kristen ITC"/>
          <w:sz w:val="24"/>
          <w:szCs w:val="24"/>
        </w:rPr>
        <w:t>lett</w:t>
      </w:r>
      <w:proofErr w:type="spellEnd"/>
      <w:r w:rsidRPr="002A4E21">
        <w:rPr>
          <w:rFonts w:ascii="Kristen ITC" w:hAnsi="Kristen ITC"/>
          <w:sz w:val="24"/>
          <w:szCs w:val="24"/>
        </w:rPr>
        <w:t xml:space="preserve">. c), relativo alle cause di </w:t>
      </w:r>
      <w:proofErr w:type="spellStart"/>
      <w:r w:rsidRPr="002A4E21">
        <w:rPr>
          <w:rFonts w:ascii="Kristen ITC" w:hAnsi="Kristen ITC"/>
          <w:sz w:val="24"/>
          <w:szCs w:val="24"/>
        </w:rPr>
        <w:t>inconferibilità</w:t>
      </w:r>
      <w:proofErr w:type="spellEnd"/>
      <w:r w:rsidRPr="002A4E21">
        <w:rPr>
          <w:rFonts w:ascii="Kristen ITC" w:hAnsi="Kristen ITC"/>
          <w:sz w:val="24"/>
          <w:szCs w:val="24"/>
        </w:rPr>
        <w:t xml:space="preserve"> a seguito di condanne per reati contro la pubblica amministrazione.  Le società adottano le misure necessarie ad assicurare che: a) negli atti di attribuzione degli incarichi o negli interpelli siano inserite espressamente le condizioni ostative al conferimento dell’incarico; b) i soggetti interessati rendano la dichiarazione di insussistenza delle cause di </w:t>
      </w:r>
      <w:proofErr w:type="spellStart"/>
      <w:r w:rsidRPr="002A4E21">
        <w:rPr>
          <w:rFonts w:ascii="Kristen ITC" w:hAnsi="Kristen ITC"/>
          <w:sz w:val="24"/>
          <w:szCs w:val="24"/>
        </w:rPr>
        <w:t>inconferibilità</w:t>
      </w:r>
      <w:proofErr w:type="spellEnd"/>
      <w:r w:rsidRPr="002A4E21">
        <w:rPr>
          <w:rFonts w:ascii="Kristen ITC" w:hAnsi="Kristen ITC"/>
          <w:sz w:val="24"/>
          <w:szCs w:val="24"/>
        </w:rPr>
        <w:t xml:space="preserve"> all’atto del conferimento dell’incarico; c) sia effettuata dal Responsabile della prevenzione della corruzione, eventualmente in collaborazione con altre strutture </w:t>
      </w:r>
      <w:r w:rsidRPr="002A4E21">
        <w:rPr>
          <w:rFonts w:ascii="Kristen ITC" w:hAnsi="Kristen ITC"/>
          <w:sz w:val="24"/>
          <w:szCs w:val="24"/>
        </w:rPr>
        <w:lastRenderedPageBreak/>
        <w:t xml:space="preserve">di controllo interne alla società, un’attività di vigilanza, sulla base di una programmazione che definisca le modalità e la frequenza delle verifiche anche su segnalazione di soggetti interni ed esterni.  </w:t>
      </w:r>
    </w:p>
    <w:p w:rsidR="002A4E21" w:rsidRPr="002A4E21" w:rsidRDefault="002A4E21" w:rsidP="002A4E21">
      <w:pPr>
        <w:jc w:val="both"/>
        <w:rPr>
          <w:rFonts w:ascii="Kristen ITC" w:hAnsi="Kristen ITC"/>
          <w:sz w:val="24"/>
          <w:szCs w:val="24"/>
        </w:rPr>
      </w:pP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Autorità Nazionale Anticorruzione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15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Nel caso di nomina degli amministratori proposta o effettuata dalle p.a. controllanti, le verifiche sulle </w:t>
      </w:r>
      <w:proofErr w:type="spellStart"/>
      <w:r w:rsidRPr="002A4E21">
        <w:rPr>
          <w:rFonts w:ascii="Kristen ITC" w:hAnsi="Kristen ITC"/>
          <w:sz w:val="24"/>
          <w:szCs w:val="24"/>
        </w:rPr>
        <w:t>inconferibilità</w:t>
      </w:r>
      <w:proofErr w:type="spellEnd"/>
      <w:r w:rsidRPr="002A4E21">
        <w:rPr>
          <w:rFonts w:ascii="Kristen ITC" w:hAnsi="Kristen ITC"/>
          <w:sz w:val="24"/>
          <w:szCs w:val="24"/>
        </w:rPr>
        <w:t xml:space="preserve"> sono svolte dalle medesime </w:t>
      </w:r>
      <w:proofErr w:type="gramStart"/>
      <w:r w:rsidRPr="002A4E21">
        <w:rPr>
          <w:rFonts w:ascii="Kristen ITC" w:hAnsi="Kristen ITC"/>
          <w:sz w:val="24"/>
          <w:szCs w:val="24"/>
        </w:rPr>
        <w:t>p.a..</w:t>
      </w:r>
      <w:proofErr w:type="gramEnd"/>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Incompatibilità specifiche per gli incarichi di amministratore e per gli incarichi </w:t>
      </w:r>
      <w:proofErr w:type="gramStart"/>
      <w:r w:rsidRPr="002A4E21">
        <w:rPr>
          <w:rFonts w:ascii="Kristen ITC" w:hAnsi="Kristen ITC"/>
          <w:sz w:val="24"/>
          <w:szCs w:val="24"/>
        </w:rPr>
        <w:t>dirigenziali  All’interno</w:t>
      </w:r>
      <w:proofErr w:type="gramEnd"/>
      <w:r w:rsidRPr="002A4E21">
        <w:rPr>
          <w:rFonts w:ascii="Kristen ITC" w:hAnsi="Kristen ITC"/>
          <w:sz w:val="24"/>
          <w:szCs w:val="24"/>
        </w:rPr>
        <w:t xml:space="preserve"> delle società è necessario sia previsto un sistema di verifica della sussistenza di eventuali situazioni di incompatibilità nei confronti dei titolari degli incarichi di amministratore, come definiti dall’art. 1, co. 2, </w:t>
      </w:r>
      <w:proofErr w:type="spellStart"/>
      <w:r w:rsidRPr="002A4E21">
        <w:rPr>
          <w:rFonts w:ascii="Kristen ITC" w:hAnsi="Kristen ITC"/>
          <w:sz w:val="24"/>
          <w:szCs w:val="24"/>
        </w:rPr>
        <w:t>lett</w:t>
      </w:r>
      <w:proofErr w:type="spellEnd"/>
      <w:r w:rsidRPr="002A4E21">
        <w:rPr>
          <w:rFonts w:ascii="Kristen ITC" w:hAnsi="Kristen ITC"/>
          <w:sz w:val="24"/>
          <w:szCs w:val="24"/>
        </w:rPr>
        <w:t xml:space="preserve">. l), sopra illustrato, e nei confronti di coloro che rivestono incarichi dirigenziali.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Le situazioni di incompatibilità per gli amministratori sono quelle indicate, in particolare, dalle seguenti disposizioni del d.lgs. n. 39/2013: - art. 9, riguardante le “incompatibilità tra incarichi e cariche in enti di diritto privato regolati o finanziati, nonché tra gli stessi incarichi e le attività professionali” e, in particolare, il co. 2; - art. 11, relativo a “incompatibilità tra incarichi amministrativi di vertice e di amministratore di ente pubblico e cariche di componenti degli organi di indirizzo nelle amministrazioni statali, regionali e locali, ed in particolare i co. 2 e 3; - art. 13, recante “incompatibilità tra incarichi di amministratore di ente di diritto privato in controllo pubblico e cariche di componenti degli organi di indirizzo politico nelle amministrazioni statali, regionali e locali”; - art. 14, co. 1 e 2, lettere a) e c), con specifico riferimento alle nomine nel settore sanitario.  Per gli incarichi dirigenziali si applica l’art. 12 dello stesso decreto relativo alle “incompatibilità tra incarichi dirigenziali interni ed esterni e cariche di componenti degli organi di indirizzo nelle amministrazioni statali, regionali e locali”.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lastRenderedPageBreak/>
        <w:t xml:space="preserve">A tali fini, le società adottano le misure necessarie ad assicurare che: a) siano inserite espressamente le cause di incompatibilità negli atti di attribuzione degli incarichi o negli interpelli per l’attribuzione degli stessi; b) i soggetti interessati rendano la dichiarazione di insussistenza delle cause di incompatibilità all’atto del conferimento dell’incarico e nel corso del rapporto; c) sia effettuata dal Responsabile della prevenzione della corruzione un’attività di vigilanza, eventualmente anche in collaborazione con altre strutture di controllo interne alla società, sulla base di una programmazione che definisca le modalità e la frequenza delle verifiche, nonché su segnalazione di soggetti interni ed esterni.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Attività successiva alla cessazione del rapporto di lavoro dei dipendenti pubblici Al fine di assicurare il rispetto di quanto previsto all’art. 53, co. 16-ter, del d.lgs. n. 165 del 2001, le società adottano le misure necessarie a evitare l’assunzione di dipendenti pubblici che, negli ultimi tre anni di servizio, abbiano esercitato poteri autoritativi o negoziali per conto di pubbliche amministrazioni, nei confronti delle società stesse. Le società assumono iniziative volte a garantire che: a) negli interpelli o comunque nelle varie forme di selezione del personale sia inserita espressamente la condizione ostativa menzionata sopra; b) i soggetti interessati rendano la dichiarazione di insussistenza della suddetta causa ostativa; c) sia svolta, secondo criteri autonomamente definiti, una specifica attività di vigilanza, eventualmente anche secondo modalità definite e su segnalazione di soggetti interni ed esterni.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Autorità Nazionale Anticorruzione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16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Formazione Le società definiscono i contenuti, i destinatari e le modalità di erogazione della formazione in materia di prevenzione della corruzione, da integrare </w:t>
      </w:r>
      <w:r w:rsidRPr="002A4E21">
        <w:rPr>
          <w:rFonts w:ascii="Kristen ITC" w:hAnsi="Kristen ITC"/>
          <w:sz w:val="24"/>
          <w:szCs w:val="24"/>
        </w:rPr>
        <w:lastRenderedPageBreak/>
        <w:t xml:space="preserve">con eventuali preesistenti attività di formazione dedicate al «modello di organizzazione e gestione ex d.lgs. n. 231/2001».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Tutela del dipendente che segnala illeciti In mancanza di una specifica previsione normativa relativa alla tutela dei dipendenti che segnalano illeciti nelle società, come già rappresentato nelle Linee guida in materia emanate dall’Autorità con determinazione n. 6 del 28 aprile 2015, le amministrazioni controllanti promuovono l’adozione da parte delle società di misure idonee ad incoraggiare il dipendente a denunciare gli illeciti di cui viene a conoscenza nell’ambito del rapporto di lavoro, avendo cura di garantire la riservatezza dell’identità del segnalante dalla ricezione e in ogni contatto successivo alla segnalazione. A questo fine è utile assicurare la trasparenza del procedimento di segnalazione, definendo e rendendo noto l’iter, con l’indicazione di termini certi per l’avvio e la conclusione dell’istruttoria e con l’individuazione dei soggetti che gestiscono le segnalazioni.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Rotazione o misure alternative Uno dei principali fattori di rischio di corruzione è costituito dalla circostanza che uno stesso soggetto possa sfruttare un potere o una conoscenza nella gestione di processi caratterizzati da discrezionalità e da relazioni intrattenute con gli utenti per ottenere vantaggi illeciti. Al fine di ridurre tale rischio e avendo come riferimento la l. n. 190 del 2012 che attribuisce particolare efficacia preventiva alla rotazione, è auspicabile che questa misura sia attuata anche all’interno delle società, compatibilmente con le esigenze organizzative d’impresa. Essa implica una più elevata frequenza del turnover di quelle figure preposte alla gestione di processi più esposti al rischio di corruzione. La rotazione non deve comunque tradursi nella sottrazione di competenze professionali specialistiche ad uffici cui sono affidate attività ad elevato contenuto tecnico. Altra misura efficace, in combinazione o alternativa alla rotazione, potrebbe essere quella della distinzione delle competenze (cd. “</w:t>
      </w:r>
      <w:proofErr w:type="gramStart"/>
      <w:r w:rsidRPr="002A4E21">
        <w:rPr>
          <w:rFonts w:ascii="Kristen ITC" w:hAnsi="Kristen ITC"/>
          <w:sz w:val="24"/>
          <w:szCs w:val="24"/>
        </w:rPr>
        <w:t>segregazione</w:t>
      </w:r>
      <w:proofErr w:type="gramEnd"/>
      <w:r w:rsidRPr="002A4E21">
        <w:rPr>
          <w:rFonts w:ascii="Kristen ITC" w:hAnsi="Kristen ITC"/>
          <w:sz w:val="24"/>
          <w:szCs w:val="24"/>
        </w:rPr>
        <w:t xml:space="preserve"> delle funzioni”) che attribuisce a soggetti diversi i compiti di: a) svolgere istruttorie e accertamenti; b) adottare decisioni; c) attuare le decisioni prese; d) effettuare verifiche.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Monitoraggio Le società, in coerenza con quanto già previsto per l’attuazione delle misure previste ai sensi del d.lgs. 231/2001 individuano le modalità, le tecniche e la frequenza del monitoraggio sull’attuazione delle misure di prevenzione della corruzione, anche ai fini del loro aggiornamento periodico, avendo cura di </w:t>
      </w:r>
      <w:r w:rsidRPr="002A4E21">
        <w:rPr>
          <w:rFonts w:ascii="Kristen ITC" w:hAnsi="Kristen ITC"/>
          <w:sz w:val="24"/>
          <w:szCs w:val="24"/>
        </w:rPr>
        <w:lastRenderedPageBreak/>
        <w:t xml:space="preserve">specificare i ruoli e le responsabilità dei soggetti chiamati a svolgere tale attività, tra i quali rientra il Responsabile della prevenzione della corruzione. Quest’ultimo, entro il 15 dicembre di ogni anno, pubblica nel sito web della società una relazione recante i risultati dell’attività di prevenzione svolta sulla base di uno schema che A.N.AC. </w:t>
      </w:r>
      <w:proofErr w:type="gramStart"/>
      <w:r w:rsidRPr="002A4E21">
        <w:rPr>
          <w:rFonts w:ascii="Kristen ITC" w:hAnsi="Kristen ITC"/>
          <w:sz w:val="24"/>
          <w:szCs w:val="24"/>
        </w:rPr>
        <w:t>si</w:t>
      </w:r>
      <w:proofErr w:type="gramEnd"/>
      <w:r w:rsidRPr="002A4E21">
        <w:rPr>
          <w:rFonts w:ascii="Kristen ITC" w:hAnsi="Kristen ITC"/>
          <w:sz w:val="24"/>
          <w:szCs w:val="24"/>
        </w:rPr>
        <w:t xml:space="preserve"> riserva di definire.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Autorità Nazionale Anticorruzione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17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2.1.2. Il Responsabile della prevenzione della 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Le società controllate dalle pubbliche amministrazioni sono tenute a nominare un Responsabile per la prevenzione della corruzione (d’ora innanzi “RPC”), secondo quanto previsto dall’art. 1, co. 7, della legge n. 190 del 2012, a cui spetta predisporre le misure organizzative per la prevenzione della corruzione ai sensi della legge n. 190/2012.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Al fine di rendere obbligatoria la nomina, le società adottano, preferibilmente attraverso modifiche statutarie, ma eventualmente anche in altre forme, gli opportuni adeguamenti che, in ogni caso, devono contenere una chiara indicazione in ordine al soggetto che dovrà svolgere le funzioni di RPC. Al RPC devono essere riconosciuti poteri di vigilanza sull’attuazione effettiva delle misure, nonché di proposta delle integrazioni e delle modifiche delle stesse ritenute più opportune.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Il Responsabile della prevenzione della corruzione è nominato dall’organo di indirizzo della società, Consiglio di amministrazione o altro organo con funzioni equivalenti. I dati relativi alla nomina sono trasmessi all’A.N.AC. </w:t>
      </w:r>
      <w:proofErr w:type="gramStart"/>
      <w:r w:rsidRPr="002A4E21">
        <w:rPr>
          <w:rFonts w:ascii="Kristen ITC" w:hAnsi="Kristen ITC"/>
          <w:sz w:val="24"/>
          <w:szCs w:val="24"/>
        </w:rPr>
        <w:t>con</w:t>
      </w:r>
      <w:proofErr w:type="gramEnd"/>
      <w:r w:rsidRPr="002A4E21">
        <w:rPr>
          <w:rFonts w:ascii="Kristen ITC" w:hAnsi="Kristen ITC"/>
          <w:sz w:val="24"/>
          <w:szCs w:val="24"/>
        </w:rPr>
        <w:t xml:space="preserve"> il modulo disponibile sul sito dell’Autorità nella pagina dedicata ai servizi on line.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lastRenderedPageBreak/>
        <w:t xml:space="preserve">Gli atti di revoca dell’incarico del RPC sono motivati e comunicati all’A.N.AC. </w:t>
      </w:r>
      <w:proofErr w:type="gramStart"/>
      <w:r w:rsidRPr="002A4E21">
        <w:rPr>
          <w:rFonts w:ascii="Kristen ITC" w:hAnsi="Kristen ITC"/>
          <w:sz w:val="24"/>
          <w:szCs w:val="24"/>
        </w:rPr>
        <w:t>che</w:t>
      </w:r>
      <w:proofErr w:type="gramEnd"/>
      <w:r w:rsidRPr="002A4E21">
        <w:rPr>
          <w:rFonts w:ascii="Kristen ITC" w:hAnsi="Kristen ITC"/>
          <w:sz w:val="24"/>
          <w:szCs w:val="24"/>
        </w:rPr>
        <w:t xml:space="preserve">, entro 30 giorni, può formulare una richiesta di riesame qualora rilevi che la revoca sia correlata alle attività svolte dal responsabile in materia di prevenzione della corruzione ai sensi dell’art. 15 del d.lgs. n. 39/2013.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Considerata l’esigenza di garantire che il sistema di prevenzione non si traduca in un mero adempimento formale e che sia, invece, calibrato, dettagliato come un modello organizzativo vero e proprio ed in grado di rispecchiare le specificità dell’ente di riferimento, l’Autorità ritiene che le funzioni di RPC debbano essere affidate ad uno dei dirigenti della società. Questa opzione interpretativa si evince anche da quanto previsto nell’art. 1, co. 8, della legge n. 190 del 2012, che vieta che la principale tra le attività del RPC, ossia l’elaborazione del Piano, possa essere affidata a soggetti estranei all’amministrazione. Per tali motivi, il Responsabile della prevenzione della corruzione non può essere individuato in un soggetto esterno alla società.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Gli organi di indirizzo della società nominano, quindi, come RPC un dirigente in servizio presso la società, attribuendogli, con lo stesso atto di conferimento dell’incarico, anche eventualmente con le necessarie modifiche statutarie e regolamentari, funzioni e poteri idonei e congrui per lo svolgimento dell’incarico con piena autonomia ed effettività. Nell’effettuare la scelta, la società dovrà vagliare l’eventuale esistenza di situazioni di conflitto di interesse ed evitare, per quanto possibile, la designazione di dirigenti responsabili di quei settori individuati all’interno della società fra quelli con aree a maggior rischio corruttivo. La scelta dovrà ricadere su un dirigente che abbia dimostrato nel tempo un comportamento integerrimo.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Nelle sole ipotesi in cui la società sia priva di dirigenti, o questi siano in numero così limitato da dover essere assegnati esclusivamente allo svolgimento di compiti gestionali nelle aree a rischio corruttivo, circostanze che potrebbero verificarsi in strutture organizzative di ridotte dimensioni, il RPC potrà essere individuato in un profilo non dirigenziale che garantisca comunque le idonee competenze. In </w:t>
      </w:r>
    </w:p>
    <w:p w:rsidR="002A4E21" w:rsidRPr="002A4E21" w:rsidRDefault="002A4E21" w:rsidP="002A4E21">
      <w:pPr>
        <w:jc w:val="both"/>
        <w:rPr>
          <w:rFonts w:ascii="Kristen ITC" w:hAnsi="Kristen ITC"/>
          <w:sz w:val="24"/>
          <w:szCs w:val="24"/>
        </w:rPr>
      </w:pPr>
    </w:p>
    <w:p w:rsidR="002A4E21" w:rsidRPr="002A4E21" w:rsidRDefault="002A4E21" w:rsidP="002A4E21">
      <w:pPr>
        <w:jc w:val="both"/>
        <w:rPr>
          <w:rFonts w:ascii="Kristen ITC" w:hAnsi="Kristen ITC"/>
          <w:sz w:val="24"/>
          <w:szCs w:val="24"/>
        </w:rPr>
      </w:pPr>
      <w:r w:rsidRPr="002A4E21">
        <w:rPr>
          <w:rFonts w:ascii="Kristen ITC" w:hAnsi="Kristen ITC"/>
          <w:sz w:val="24"/>
          <w:szCs w:val="24"/>
        </w:rPr>
        <w:lastRenderedPageBreak/>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Autorità Nazionale Anticorruzione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18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proofErr w:type="gramStart"/>
      <w:r w:rsidRPr="002A4E21">
        <w:rPr>
          <w:rFonts w:ascii="Kristen ITC" w:hAnsi="Kristen ITC"/>
          <w:sz w:val="24"/>
          <w:szCs w:val="24"/>
        </w:rPr>
        <w:t>questo</w:t>
      </w:r>
      <w:proofErr w:type="gramEnd"/>
      <w:r w:rsidRPr="002A4E21">
        <w:rPr>
          <w:rFonts w:ascii="Kristen ITC" w:hAnsi="Kristen ITC"/>
          <w:sz w:val="24"/>
          <w:szCs w:val="24"/>
        </w:rPr>
        <w:t xml:space="preserve"> caso, il Consiglio di amministrazione o, in sua mancanza, l’amministratore sono tenuti ad esercitare una funzione di vigilanza stringente e periodica sulle attività del soggetto incaricato. In ultima istanza, e solo in casi eccezionali, il RPC potrà coincidere con un amministratore, purché privo di deleghe gestionali. Nei casi di società di ridotte dimensioni appartenenti ad un gruppo societario, in particolare quelle che svolgono attività strumentali, qualora sia stata seguita l’opzione indicata al paragrafo 2.1.1. </w:t>
      </w:r>
      <w:proofErr w:type="gramStart"/>
      <w:r w:rsidRPr="002A4E21">
        <w:rPr>
          <w:rFonts w:ascii="Kristen ITC" w:hAnsi="Kristen ITC"/>
          <w:sz w:val="24"/>
          <w:szCs w:val="24"/>
        </w:rPr>
        <w:t>con</w:t>
      </w:r>
      <w:proofErr w:type="gramEnd"/>
      <w:r w:rsidRPr="002A4E21">
        <w:rPr>
          <w:rFonts w:ascii="Kristen ITC" w:hAnsi="Kristen ITC"/>
          <w:sz w:val="24"/>
          <w:szCs w:val="24"/>
        </w:rPr>
        <w:t xml:space="preserve"> la predisposizione di un’unica programmazione delle misure ex </w:t>
      </w:r>
      <w:proofErr w:type="spellStart"/>
      <w:r w:rsidRPr="002A4E21">
        <w:rPr>
          <w:rFonts w:ascii="Kristen ITC" w:hAnsi="Kristen ITC"/>
          <w:sz w:val="24"/>
          <w:szCs w:val="24"/>
        </w:rPr>
        <w:t>lege</w:t>
      </w:r>
      <w:proofErr w:type="spellEnd"/>
      <w:r w:rsidRPr="002A4E21">
        <w:rPr>
          <w:rFonts w:ascii="Kristen ITC" w:hAnsi="Kristen ITC"/>
          <w:sz w:val="24"/>
          <w:szCs w:val="24"/>
        </w:rPr>
        <w:t xml:space="preserve"> n. 190/2012 da parte del RPC della capogruppo, le società del gruppo di ridotte dimensioni sono comunque tenute a nominare almeno un referente del RPC della capogruppo.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In ogni caso, considerata la stretta connessione tra le misure adottate ai sensi del d.lgs. n. 231 del 2001 e quelle previste dalla legge n. 190 del 2012, le funzioni del Responsabile della prevenzione della corruzione, dovranno essere svolte in costante coordinamento con quelle dell’Organismo di vigilanza nominato ai sensi del citato decreto legislativo.  In questa ottica, nelle società in cui l’Organismo di vigilanza sia collegiale e si preveda la presenza di un componente interno, è auspicabile che tale componente svolga anche le funzioni di RPC. Questa soluzione, rimessa all’autonomia organizzativa delle società, consentirebbe il collegamento funzionale tra il RPC e l’Organismo di vigilanza. Solo nei casi di società di piccole dimensioni, nell’ipotesi in cui questa si doti di un Organismo di vigilanza monocratico composto da un dipendente, la figura del RPC può coincidere con quella dell’Organismo di vigilanza.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Dall’espletamento dell’incarico di RPC non può derivare l’attribuzione di alcun compenso aggiuntivo, fatto salvo il solo riconoscimento, laddove sia configurabile, di eventuali retribuzioni di risultato legate all’effettivo conseguimento di precisi obiettivi predeterminati in sede di previsioni delle misure organizzative per la </w:t>
      </w:r>
      <w:r w:rsidRPr="002A4E21">
        <w:rPr>
          <w:rFonts w:ascii="Kristen ITC" w:hAnsi="Kristen ITC"/>
          <w:sz w:val="24"/>
          <w:szCs w:val="24"/>
        </w:rPr>
        <w:lastRenderedPageBreak/>
        <w:t xml:space="preserve">prevenzione della corruzione, fermi restando i vincoli che derivano dai tetti retributivi normativamente previsti e dai limiti complessivi alla spesa per il personale. Ciò vale anche nel caso in cui le funzioni di RPC siano affidate ad un componente dell’Organismo di vigilanza.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Inalterato il regime di responsabilità dei dirigenti e dei dipendenti proprio di ciascuna tipologia di società, nel provvedimento di conferimento dell’incarico di RPC sono individuate le conseguenze derivanti dall’inadempimento degli obblighi connessi e sono declinati gli eventuali profili di responsabilità disciplinare e dirigenziale, quest’ultima ove applicabile. In particolare, occorre che siano specificate le conseguenze derivanti dall’omessa vigilanza sul funzionamento e sull’osservanza delle misure organizzative per la prevenzione della corruzione, nonché dall’omesso controllo in caso di ripetute violazioni delle misure previste, in considerazione di quanto disposto dall’art. 1, commi 12 e 14, della legge n. 190 del 2012.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In relazione agli organi di amministrazione, fatte salve le responsabilità previste dal d.lgs. n. 231 del 2001, nonché l’eventuale azione ex art. 2392 del codice civile per i danni cagionati alla società, le amministrazioni controllanti promuovono l’inserimento, anche negli statuti societari, di meccanismi sanzionatori a carico degli amministratori che non abbiano adottato le misure organizzative e gestionali per la prevenzione della corruzione ex l. 190/2012 o il Programma triennale per la trasparenza e l’integrità. </w:t>
      </w:r>
    </w:p>
    <w:p w:rsidR="002A4E21" w:rsidRPr="002A4E21" w:rsidRDefault="002A4E21" w:rsidP="002A4E21">
      <w:pPr>
        <w:jc w:val="both"/>
        <w:rPr>
          <w:rFonts w:ascii="Kristen ITC" w:hAnsi="Kristen ITC"/>
          <w:sz w:val="24"/>
          <w:szCs w:val="24"/>
        </w:rPr>
      </w:pP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Autorità Nazionale Anticorruzione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19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lastRenderedPageBreak/>
        <w:t xml:space="preserve">E’ compito delle amministrazioni controllanti vigilare sull’adozione delle misure di prevenzione della corruzione e sulla nomina del RPC da parte delle società controllate. A tal fine le amministrazioni prevedono apposite misure, anche organizzative, all’interno dei propri piani di prevenzione della 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2.1.3. La trasparenza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Alle società controllate, direttamente o indirettamente, dalle pubbliche amministrazioni si applica la normativa sulla trasparenza contenuta nel d.lgs. n. 33/2013 (art. 11, co. 2, del d.lgs. n. 33/2013), oltre a quanto già previsto dall’art. 1, co. 34, della legge n. 190 del 2012 per tutte le società a partecipazione pubblica, anche non di controllo.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L’art. 11, co. 2, </w:t>
      </w:r>
      <w:proofErr w:type="spellStart"/>
      <w:r w:rsidRPr="002A4E21">
        <w:rPr>
          <w:rFonts w:ascii="Kristen ITC" w:hAnsi="Kristen ITC"/>
          <w:sz w:val="24"/>
          <w:szCs w:val="24"/>
        </w:rPr>
        <w:t>lett</w:t>
      </w:r>
      <w:proofErr w:type="spellEnd"/>
      <w:r w:rsidRPr="002A4E21">
        <w:rPr>
          <w:rFonts w:ascii="Kristen ITC" w:hAnsi="Kristen ITC"/>
          <w:sz w:val="24"/>
          <w:szCs w:val="24"/>
        </w:rPr>
        <w:t xml:space="preserve">. b), come novellato dall’art. 24-bis del dl. n. 90 del 2014, dispone, infatti, che la disciplina del d.lgs. n. 33 del 2013 prevista per le pubbliche amministrazioni sia applicata «limitatamente all’attività di pubblico interesse disciplinata dal diritto nazionale o dell’Unione europea» anche agli enti di diritto privato in controllo pubblico, incluse le società in controllo pubblico che esercitano funzioni amministrative, attività di produzione di beni e servizi a favore delle pubbliche amministrazioni o di gestione di servizi pubblici.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La nuova disposizione introduce una netta distinzione tra le società controllate e le società a partecipazione pubblica non di controllo. L’elemento distintivo tra le due categorie di società consiste nel fatto che nelle società controllate deve sempre essere assicurata la trasparenza dei dati relativi all’organizzazione. Per le società in controllo pubblico, cioè, la trasparenza deve essere garantita sia relativamente all’organizzazione che alle attività di pubblico interesse effettivamente svolte.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Per le società a partecipazione pubblica non di controllo, invece, gli obblighi di trasparenza sono quelli di cui ai commi da 15 a 33 della legge n. 190 del 2012 con riferimento alle attività di pubblico interesse se effettivamente esercitate, e di cui all’art. 22, co. 3, per quanto attiene all’organizzazione, secondo quanto indicato nel paragrafo 2.2.2.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lastRenderedPageBreak/>
        <w:t xml:space="preserve">Per quanto riguarda le «attività di pubblico interesse regolate dal diritto nazionale o dell’Unione europea» svolte dalle società in questione, sono certamente da considerarsi tali quelle così qualificate da una norma di legge o dagli atti costitutivi e dagli statuti degli enti e delle società e quelle previste dall’art. 11, co. 2, del d.lgs. n. 33 del 2013, ovvero le attività di esercizio di funzioni amministrative, di produzione di beni e servizi a favore delle amministrazioni pubbliche, di gestione di servizi pubblici.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Come orientamento di carattere generale, è onere delle singole società, d’intesa con le amministrazioni controllanti o, ove presenti, con quelle vigilanti, indicare chiaramente all’interno del Programma triennale per la trasparenza e l’integrità, quali attività rientrano fra quelle di «pubblico interesse regolate dal diritto nazionale o dell’Unione europea» e quelle che, invece non lo sono. Le amministrazioni controllanti o quelle vigilanti – laddove dette funzioni siano in capo ad amministrazioni diverse - sono chiamate ad una attenta verifica circa l’identificazione delle attività di pubblico interesse volta ad assicurare il pieno rispetto della normativa in materia di trasparenza. </w:t>
      </w:r>
    </w:p>
    <w:p w:rsidR="002A4E21" w:rsidRPr="002A4E21" w:rsidRDefault="002A4E21" w:rsidP="002A4E21">
      <w:pPr>
        <w:jc w:val="both"/>
        <w:rPr>
          <w:rFonts w:ascii="Kristen ITC" w:hAnsi="Kristen ITC"/>
          <w:sz w:val="24"/>
          <w:szCs w:val="24"/>
        </w:rPr>
      </w:pP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Autorità Nazionale Anticorruzione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20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Data la natura di alcune attività espressione di funzioni strumentali, ad esempio di acquisto di beni e servizi ovvero di svolgimento di lavori e di gestione di risorse umane e finanziarie, si presume che le stesse siano volte a soddisfare anche esigenze connesse allo svolgimento di attività di pubblico interesse. Dette attività, pertanto, sono sottoposte alla normativa sulla trasparenza, salvo specifiche e motivate indicazioni contrarie da parte dell’ente o della società interessata. In prospettiva sarebbe di sicura utilità che le società distinguano più chiaramente le due tipologie di attività (di pubblico interesse e commerciali), sotto i profili dell’organizzazione (individuando ad esempio distinti uffici), delle modalità di gestione (individuando </w:t>
      </w:r>
      <w:r w:rsidRPr="002A4E21">
        <w:rPr>
          <w:rFonts w:ascii="Kristen ITC" w:hAnsi="Kristen ITC"/>
          <w:sz w:val="24"/>
          <w:szCs w:val="24"/>
        </w:rPr>
        <w:lastRenderedPageBreak/>
        <w:t xml:space="preserve">distinte regole applicate nello svolgimento delle attività), della gestione contabile (dando distinta rilevanza nei bilanci alle risorse impiegate, ai costi e ai risultati).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Laddove una società controllata non svolga invece attività di pubblico interesse, è comunque tenuta a pubblicare i dati relativi alla propria organizzazione e a rispettare gli obblighi di pubblicazione che possono eventualmente discendere dalla normativa di settore, ad esempio in materia di appalti o di selezione del personale.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Naturalmente, considerate le peculiarità organizzative, il tipo di attività e il regime privatistico, la disciplina della trasparenza è applicabile con i necessari adattamenti, anche per contemperare l’obiettivo della più ampia pubblicazione dei dati con le eventuali esigenze relative alla natura privatistica e alle attività svolte in regime concorrenziale. L’allegato 1 alla presente delibera indica i principali adattamenti relativi agli obblighi di trasparenza che le società controllate dalle pubbliche amministrazioni sono tenute ad osservare.  A tal proposito si fa presente che alle società in </w:t>
      </w:r>
      <w:proofErr w:type="spellStart"/>
      <w:r w:rsidRPr="002A4E21">
        <w:rPr>
          <w:rFonts w:ascii="Kristen ITC" w:hAnsi="Kristen ITC"/>
          <w:sz w:val="24"/>
          <w:szCs w:val="24"/>
        </w:rPr>
        <w:t>house</w:t>
      </w:r>
      <w:proofErr w:type="spellEnd"/>
      <w:r w:rsidRPr="002A4E21">
        <w:rPr>
          <w:rFonts w:ascii="Kristen ITC" w:hAnsi="Kristen ITC"/>
          <w:sz w:val="24"/>
          <w:szCs w:val="24"/>
        </w:rPr>
        <w:t xml:space="preserve">, che pure rientrano nell’ambito di applicazione delle presenti Linee guida, si applicano gli obblighi di trasparenza previsti per le pubbliche amministrazioni, senza alcun adattamento. Infatti, pur non rientrando tra le amministrazioni pubbliche di cui all’art. 1, co. 2, del d.lgs. n. 165/2001, in quanto organizzate secondo il modello societario, dette società, essendo affidatarie in via diretta di servizi ed essendo sottoposte ad un controllo particolarmente significativo da parte delle amministrazioni, costituiscono nei fatti parte integrante delle amministrazioni controllanti.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Le società controllate adottano, ai sensi del combinato disposto dell’art. 10 e dell’art. 11 del d.lgs. n. 33/2013, un “Programma triennale per la trasparenza e l’integrità” in cui viene definito il modello organizzativo che esse intendono adottare per assicurare il raggiungimento degli obiettivi di trasparenza. Nel Programma sono specificate le modalità, i tempi di attuazione, le risorse e gli strumenti di verifica dell’efficacia delle iniziative e degli obblighi in materia di trasparenza. Nello stesso Programma, come sopra anticipato, le società indicano, esplicitandone la motivazione, quali sono le attività non qualificabili di pubblico interesse che quindi come tali, non sono sottoposte alle misure di trasparenza previste dal d.lgs. n. 33 del 2013 e quelle che invece sono di pubblico interesse. Per </w:t>
      </w:r>
      <w:r w:rsidRPr="002A4E21">
        <w:rPr>
          <w:rFonts w:ascii="Kristen ITC" w:hAnsi="Kristen ITC"/>
          <w:sz w:val="24"/>
          <w:szCs w:val="24"/>
        </w:rPr>
        <w:lastRenderedPageBreak/>
        <w:t xml:space="preserve">gli altri contenuti del Programma e per le indicazioni relative alla qualità dei dati da pubblicare, si rinvia alla delibera A.N.AC. n. 50/2013. Si ricorda che, l’omessa adozione del Programma è esplicitamente sanzionata ai sensi dell’art. 19, co. 5, del </w:t>
      </w:r>
      <w:proofErr w:type="spellStart"/>
      <w:r w:rsidRPr="002A4E21">
        <w:rPr>
          <w:rFonts w:ascii="Kristen ITC" w:hAnsi="Kristen ITC"/>
          <w:sz w:val="24"/>
          <w:szCs w:val="24"/>
        </w:rPr>
        <w:t>d.l.</w:t>
      </w:r>
      <w:proofErr w:type="spellEnd"/>
      <w:r w:rsidRPr="002A4E21">
        <w:rPr>
          <w:rFonts w:ascii="Kristen ITC" w:hAnsi="Kristen ITC"/>
          <w:sz w:val="24"/>
          <w:szCs w:val="24"/>
        </w:rPr>
        <w:t xml:space="preserve"> n. 90/2014.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Le società sono tenute anche a costituire sul proprio sito web una apposita Sezione, denominata “Società trasparente”, in cui pubblicare i dati e le informazioni ai sensi del d.lgs. n. 33 del 2013. Per </w:t>
      </w:r>
    </w:p>
    <w:p w:rsidR="002A4E21" w:rsidRPr="002A4E21" w:rsidRDefault="002A4E21" w:rsidP="002A4E21">
      <w:pPr>
        <w:jc w:val="both"/>
        <w:rPr>
          <w:rFonts w:ascii="Kristen ITC" w:hAnsi="Kristen ITC"/>
          <w:sz w:val="24"/>
          <w:szCs w:val="24"/>
        </w:rPr>
      </w:pP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Autorità Nazionale Anticorruzione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21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proofErr w:type="gramStart"/>
      <w:r w:rsidRPr="002A4E21">
        <w:rPr>
          <w:rFonts w:ascii="Kristen ITC" w:hAnsi="Kristen ITC"/>
          <w:sz w:val="24"/>
          <w:szCs w:val="24"/>
        </w:rPr>
        <w:t>limitare</w:t>
      </w:r>
      <w:proofErr w:type="gramEnd"/>
      <w:r w:rsidRPr="002A4E21">
        <w:rPr>
          <w:rFonts w:ascii="Kristen ITC" w:hAnsi="Kristen ITC"/>
          <w:sz w:val="24"/>
          <w:szCs w:val="24"/>
        </w:rPr>
        <w:t xml:space="preserve"> gli oneri derivanti dalla disciplina della trasparenza, qualora le società controllate non abbiano un sito web, sarà cura delle amministrazioni controllanti rendere disponibile una sezione del proprio sito in cui le società controllate possano predisporre la sezione “Società trasparente” in cui pubblicare i dati, ferme restando le rispettive responsabilità.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Si ricorda che, in ogni caso, le società sono tenute a comunicare le informazioni di cui all’art. 22, co. 2, del d.lgs. n. 33 del 2013 ai soci pubblici, così come gli amministratori societari comunicano i dati concernenti il proprio incarico, pena la sanzione pecuniaria prevista dall’art. 47 del medesimo decreto.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Tenuto conto dell’esigenza di ridurre gli oneri organizzativi e di semplificare e valorizzare i sistemi di controllo già esistenti, ciascuna società individua, all’interno degli stessi un soggetto che curi l’attestazione dell’assolvimento degli obblighi di pubblicazione analogamente a quanto fanno gli Organismi indipendenti di valutazione per le amministrazioni pubbliche ai sensi dell’art. 14, co. 4, </w:t>
      </w:r>
      <w:proofErr w:type="spellStart"/>
      <w:r w:rsidRPr="002A4E21">
        <w:rPr>
          <w:rFonts w:ascii="Kristen ITC" w:hAnsi="Kristen ITC"/>
          <w:sz w:val="24"/>
          <w:szCs w:val="24"/>
        </w:rPr>
        <w:t>lett</w:t>
      </w:r>
      <w:proofErr w:type="spellEnd"/>
      <w:r w:rsidRPr="002A4E21">
        <w:rPr>
          <w:rFonts w:ascii="Kristen ITC" w:hAnsi="Kristen ITC"/>
          <w:sz w:val="24"/>
          <w:szCs w:val="24"/>
        </w:rPr>
        <w:t xml:space="preserve">. g), del d.lgs. n. 150/2009. I riferimenti del soggetto così individuato sono indicati </w:t>
      </w:r>
      <w:r w:rsidRPr="002A4E21">
        <w:rPr>
          <w:rFonts w:ascii="Kristen ITC" w:hAnsi="Kristen ITC"/>
          <w:sz w:val="24"/>
          <w:szCs w:val="24"/>
        </w:rPr>
        <w:lastRenderedPageBreak/>
        <w:t xml:space="preserve">chiaramente nella sezione del sito web “Società Trasparente” e nel Programma triennale per la trasparenza e l’integrità.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L’organo di indirizzo della società controllata provvede, inoltre, alla nomina del Responsabile della trasparenza, le cui funzioni, secondo quanto previsto dall’art. 43, co. 1, del d.lgs. n. 33 del 2013 sono svolte, «di norma», dal Responsabile della prevenzione della corruzione. E’ opportuno precisare che, laddove la società abbia nominato due soggetti distinti per le funzioni in materia di trasparenza e per quelle di prevenzione della corruzione, è necessario garantire un coordinamento tra i due soggetti.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Le società controllate sono tenute anche ad adottare autonomamente le misure organizzative necessarie al fine di assicurare l’accesso civico (art. 5, d.lgs. n. 33 del 2013) e a pubblicare, nella sezione “Società trasparente”, le informazioni relative alle modalità di esercizio di tale diritto e gli indirizzi di posta elettronica cui gli interessati possano inoltrare le relative richieste.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2.2. Le società a partecipazione pubblica non di controllo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Ai fini delle presenti Linee guida, rientrano fra le società a partecipazione pubblica non di controllo quelle definite dall’art. 11, co. 3, del d.lgs. n. 33/2013 come a partecipazione pubblica non maggioritaria, ossia quelle in cui le amministrazioni detengono una partecipazione non idonea a determinare una situazione di controllo ai sensi dell’art. 2359, co. 1, numeri 1 e 2, del codice civile (v. par. 2).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In considerazione del minor grado di controllo che l’amministrazione esercita sulle società partecipate, trattandosi di mera partecipazione azionaria, ad avviso dell’Autorità, l’attuazione della normativa in materia di prevenzione della corruzione comporta oneri minori rispetto a quelli imposti alle società in controllo pubblico. Per la trasparenza, la stessa legge n. 190 del 2012 e il d.lgs. n. 33 del 2013 prevedono obblighi di pubblicazione ridotti.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Autorità Nazionale Anticorruzione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22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2.2.1. Le misure organizzative per la prevenzione della 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Le amministrazioni partecipanti promuovono l’adozione del modello di organizzazione e gestione ai sensi del d.lgs. n. 231 del 2001 nelle società a cui partecipano. Al riguardo si ricorda che l’art. 1 del d.lgs. n. 231/2001 dispone espressamente che le sue disposizioni non si applicano solo «allo Stato, agli enti pubblici territoriali, agli altri enti pubblici non economici nonché agli enti che svolgono funzioni di rilievo costituzionale».  E’ opportuno che il predetto modello di organizzazione e gestione sia integrato, preferibilmente in una sezione apposita, con misure di organizzazione e gestione idonee a prevenire, nelle attività che vengono svolte, ulteriori fatti corruttivi come sopra definiti (par. 2.1.1.) in danno alla società e alla pubblica amministrazione, nel rispetto dei principi contemplati dalla normativa in materia di prevenzione della corruzione. Le società in questione, in quanto rientranti fra gli enti regolati o finanziati dalle pubbliche amministrazioni ai sensi dell’art. 1, co. 2, </w:t>
      </w:r>
      <w:proofErr w:type="spellStart"/>
      <w:r w:rsidRPr="002A4E21">
        <w:rPr>
          <w:rFonts w:ascii="Kristen ITC" w:hAnsi="Kristen ITC"/>
          <w:sz w:val="24"/>
          <w:szCs w:val="24"/>
        </w:rPr>
        <w:t>lett</w:t>
      </w:r>
      <w:proofErr w:type="spellEnd"/>
      <w:r w:rsidRPr="002A4E21">
        <w:rPr>
          <w:rFonts w:ascii="Kristen ITC" w:hAnsi="Kristen ITC"/>
          <w:sz w:val="24"/>
          <w:szCs w:val="24"/>
        </w:rPr>
        <w:t xml:space="preserve">. d), numero 2), del d.lgs. n. 39/2013, sono tenute a rispettare le norme sulla incompatibilità previste nel medesimo decreto ed, in particolare, dagli articoli 9 e 10.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Le società a partecipazione pubblica non di controllo restano quindi soggette al regime di responsabilità previsto dal d.lgs. n. 231/2001 e non sono tenute a nominare il Responsabile della prevenzione della corruzione, potendo comunque individuare tale figura, nell’ambito della propria autonomia organizzativa, preferibilmente nel rispetto delle indicazioni fornite nelle presenti Linee guida. Qualora le società non abbiano adottato un modello di organizzazione e gestione ai sensi del d.lgs. n. 231/2001, resta comunque ferma la possibilità, anche su indicazione delle amministrazioni partecipanti, di programmare misure organizzative ai fini di prevenzione della corruzione ex l. 190/2012.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lastRenderedPageBreak/>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2.2.2. La trasparenza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In virtù dell’art. 1, co. 34, della legge n. 190/2012 e dell’art.11, co. 3, del d.lgs. n. 33 del 2013 alle società a partecipazione pubblica non di controllo si applicano le regole in tema di trasparenza contenute nell’art. 1, commi da 15 a 33, della legge n. 190 del 2012, limitatamente «all’attività di pubblico interesse disciplinata dal diritto nazionale o dell’Unione europea».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Ne consegue che, limitatamente alle attività di pubblico interesse eventualmente svolte, le società a partecipazione pubblica non di controllo assicurano la pubblicazione nei propri siti web delle informazioni relative ai procedimenti amministrativi (art. 1, co. 15, l. n. 190/2012), ivi inclusi quelli posti in essere in deroga alle procedure ordinarie (art. 1, co. 26); al monitoraggio periodico del rispetto dei tempi procedimentali (art. 1, co. 28); ai bilanci e conti consuntivi (art. 1, co. 15); ai costi unitari di realizzazione delle opere pubbliche e di produzione dei servizi erogati ai cittadini (art. 1, co. 15); alle autorizzazioni o concessioni (art. 1, co. 16); alla scelta del contraente per l’affidamento di lavori, forniture e servizi, anche con riferimento alla modalità di selezione prescelta ai sensi del codice dei contratti pubblici relativi a lavori, servizi e forniture, di cui al d.lgs. n. 163/2006 (art. 1, co. 16 e 32); </w:t>
      </w:r>
    </w:p>
    <w:p w:rsidR="002A4E21" w:rsidRPr="002A4E21" w:rsidRDefault="002A4E21" w:rsidP="002A4E21">
      <w:pPr>
        <w:jc w:val="both"/>
        <w:rPr>
          <w:rFonts w:ascii="Kristen ITC" w:hAnsi="Kristen ITC"/>
          <w:sz w:val="24"/>
          <w:szCs w:val="24"/>
        </w:rPr>
      </w:pP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Autorità Nazionale Anticorruzione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23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proofErr w:type="gramStart"/>
      <w:r w:rsidRPr="002A4E21">
        <w:rPr>
          <w:rFonts w:ascii="Kristen ITC" w:hAnsi="Kristen ITC"/>
          <w:sz w:val="24"/>
          <w:szCs w:val="24"/>
        </w:rPr>
        <w:t>alle</w:t>
      </w:r>
      <w:proofErr w:type="gramEnd"/>
      <w:r w:rsidRPr="002A4E21">
        <w:rPr>
          <w:rFonts w:ascii="Kristen ITC" w:hAnsi="Kristen ITC"/>
          <w:sz w:val="24"/>
          <w:szCs w:val="24"/>
        </w:rPr>
        <w:t xml:space="preserve"> concessioni ed erogazioni di sovvenzioni, contributi, sussidi, ausili finanziari, nonché all’attribuzione di vantaggi economici di qualunque genere a persone ed enti pubblici e privati (art. 1, co. 16); ai concorsi e prove selettive per l’assunzione del personale (art. 1, co. 16). Esse rendono noto, inoltre, almeno un indirizzo di posta </w:t>
      </w:r>
      <w:r w:rsidRPr="002A4E21">
        <w:rPr>
          <w:rFonts w:ascii="Kristen ITC" w:hAnsi="Kristen ITC"/>
          <w:sz w:val="24"/>
          <w:szCs w:val="24"/>
        </w:rPr>
        <w:lastRenderedPageBreak/>
        <w:t xml:space="preserve">elettronica certificata cui il cittadino possa rivolgersi per trasmettere istanze ai sensi dell’art. 38 del D.P.R. n. 445/2000 e ricevere informazioni circa i provvedimenti e i procedimenti amministrativi che lo riguardano (art. 1, co. 29).  I dati sono pubblicati in una apposita sezione del sito denominata “Società trasparente”.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Le società partecipate, diversamente dalle società controllate, sono sottoposte, per quanto concerne la pubblicazione dei dati sull’organizzazione, unicamente agli obblighi di pubblicità di cui agli artt. 14 e 15 del d.lgs. n. 33/2013, in virtù del rinvio operato dall’art. 22, co. 3, del medesimo decreto. L’interpretazione di queste disposizioni deve essere coordinata con l’art. 11 del d.lgs. n. 33/2013, come modificato dal </w:t>
      </w:r>
      <w:proofErr w:type="spellStart"/>
      <w:r w:rsidRPr="002A4E21">
        <w:rPr>
          <w:rFonts w:ascii="Kristen ITC" w:hAnsi="Kristen ITC"/>
          <w:sz w:val="24"/>
          <w:szCs w:val="24"/>
        </w:rPr>
        <w:t>d.l.</w:t>
      </w:r>
      <w:proofErr w:type="spellEnd"/>
      <w:r w:rsidRPr="002A4E21">
        <w:rPr>
          <w:rFonts w:ascii="Kristen ITC" w:hAnsi="Kristen ITC"/>
          <w:sz w:val="24"/>
          <w:szCs w:val="24"/>
        </w:rPr>
        <w:t xml:space="preserve"> 90/2014 che limita gli obblighi di pubblicazione per le società a partecipazione pubblica a quelli previsti dall’art. 1, co. </w:t>
      </w:r>
      <w:proofErr w:type="gramStart"/>
      <w:r w:rsidRPr="002A4E21">
        <w:rPr>
          <w:rFonts w:ascii="Kristen ITC" w:hAnsi="Kristen ITC"/>
          <w:sz w:val="24"/>
          <w:szCs w:val="24"/>
        </w:rPr>
        <w:t>da</w:t>
      </w:r>
      <w:proofErr w:type="gramEnd"/>
      <w:r w:rsidRPr="002A4E21">
        <w:rPr>
          <w:rFonts w:ascii="Kristen ITC" w:hAnsi="Kristen ITC"/>
          <w:sz w:val="24"/>
          <w:szCs w:val="24"/>
        </w:rPr>
        <w:t xml:space="preserve"> 15 a 33, della legge n. 190/2012.  Ad avviso dell’Autorità, pertanto, la pubblicazione dei dati di cui agli artt. 14 e 15 deve avvenire con opportuni adattamenti indicati nell’allegato 1 della presente </w:t>
      </w:r>
      <w:proofErr w:type="gramStart"/>
      <w:r w:rsidRPr="002A4E21">
        <w:rPr>
          <w:rFonts w:ascii="Kristen ITC" w:hAnsi="Kristen ITC"/>
          <w:sz w:val="24"/>
          <w:szCs w:val="24"/>
        </w:rPr>
        <w:t>delibera  Per</w:t>
      </w:r>
      <w:proofErr w:type="gramEnd"/>
      <w:r w:rsidRPr="002A4E21">
        <w:rPr>
          <w:rFonts w:ascii="Kristen ITC" w:hAnsi="Kristen ITC"/>
          <w:sz w:val="24"/>
          <w:szCs w:val="24"/>
        </w:rPr>
        <w:t xml:space="preserve"> quanto riguarda i dati reddituali e patrimoniali previsti dall’art. 14, l’obbligo di trasparenza si considera assolto con la pubblicazione dei dati relativi ai soli componenti degli organi di indirizzo politico-amministrativo nominati o designati dalle amministrazioni partecipanti.  Per ciò che attiene all’art. 15, con particolare riferimento alla pubblicazione dei compensi, comunque denominati, relativi agli incarichi dirigenziali, questa può avvenire in forma aggregata dando conto della spesa complessiva sostenuta ciascun anno, con l’indicazione dei livelli più alti e più bassi dei compensi corrisposti, salvo che la società non provveda ad identificare chiaramente, nell’ambito della propria struttura, le articolazioni organizzative che svolgono attività di pubblico interesse. In tale ultimo caso, per i dirigenti preposti alle predette articolazioni organizzative, deve essere indicato il compenso da ciascuno di essi percepito. Analoghi accorgimenti possono essere osservati per la pubblicazione dei compensi relativi agli incarichi di collaborazione e consulenza, come indicato nell’allegato 1.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Inoltre le società partecipate non sono tenute a nominare il Responsabile della trasparenza né ad adottare il Programma triennale per la trasparenza e l’integrità ma possono comunque provvedere in tal senso. E’ auspicabile, in ogni caso, che le società rendano noto, ai fini dell’</w:t>
      </w:r>
      <w:proofErr w:type="spellStart"/>
      <w:r w:rsidRPr="002A4E21">
        <w:rPr>
          <w:rFonts w:ascii="Kristen ITC" w:hAnsi="Kristen ITC"/>
          <w:sz w:val="24"/>
          <w:szCs w:val="24"/>
        </w:rPr>
        <w:t>accountability</w:t>
      </w:r>
      <w:proofErr w:type="spellEnd"/>
      <w:r w:rsidRPr="002A4E21">
        <w:rPr>
          <w:rFonts w:ascii="Kristen ITC" w:hAnsi="Kristen ITC"/>
          <w:sz w:val="24"/>
          <w:szCs w:val="24"/>
        </w:rPr>
        <w:t xml:space="preserve">, come intendono realizzare la pubblicazione dei dati e i soggetti interni coinvolti.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lastRenderedPageBreak/>
        <w:t xml:space="preserve">Poiché le società devono pubblicare i dati e le informazioni sopra elencati, l’Autorità ritiene che per questi dati e informazioni sia applicabile la normativa sull’accesso civico (art. 5, d.lgs. n. 33 del 2013). Al fine di assicurare detto accesso, le società partecipate adottano autonomamente le misure necessarie e pubblicano, nella sezione “Società trasparente”, le informazioni relative alle modalità di esercizio di tale diritto e gli indirizzi di posta elettronica cui inoltrare le relative richieste.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È opportuno, in aggiunta, che esse prevedano, al proprio interno, una funzione di controllo e di monitoraggio degli obblighi di pubblicazione, anche al fine di attestare l’assolvimento degli stessi. Questa funzione è affidata preferibilmente all’Organismo di vigilanza, ferme restando le scelte </w:t>
      </w:r>
    </w:p>
    <w:p w:rsidR="002A4E21" w:rsidRPr="002A4E21" w:rsidRDefault="002A4E21" w:rsidP="002A4E21">
      <w:pPr>
        <w:jc w:val="both"/>
        <w:rPr>
          <w:rFonts w:ascii="Kristen ITC" w:hAnsi="Kristen ITC"/>
          <w:sz w:val="24"/>
          <w:szCs w:val="24"/>
        </w:rPr>
      </w:pP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Autorità Nazionale Anticorruzione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24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proofErr w:type="gramStart"/>
      <w:r w:rsidRPr="002A4E21">
        <w:rPr>
          <w:rFonts w:ascii="Kristen ITC" w:hAnsi="Kristen ITC"/>
          <w:sz w:val="24"/>
          <w:szCs w:val="24"/>
        </w:rPr>
        <w:t>organizzative</w:t>
      </w:r>
      <w:proofErr w:type="gramEnd"/>
      <w:r w:rsidRPr="002A4E21">
        <w:rPr>
          <w:rFonts w:ascii="Kristen ITC" w:hAnsi="Kristen ITC"/>
          <w:sz w:val="24"/>
          <w:szCs w:val="24"/>
        </w:rPr>
        <w:t xml:space="preserve"> interne ritenute più idonee, tenuto conto dell’esigenza di limitare gli oneri organizzativi e di semplificare e valorizzare i sistemi di controllo già esistenti.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Analogamente a quanto indicato per le società controllate, qualora le società a partecipazione pubblica non di controllo non dispongano di un sito internet in cui costituire la sezione “Società trasparente”, sarà cura delle amministrazioni partecipanti rendere disponibile una sezione del proprio sito in cui le società partecipate possano predisporre la sezione “Società trasparente” in cui pubblicare i dati, ferme restando le rispettive responsabilità.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lastRenderedPageBreak/>
        <w:t xml:space="preserve">3. Gli altri enti di diritto privato in controllo pubblico e gli altri enti di diritto privato partecipati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Per delimitare l’ambito di applicazione delle norme in materia di prevenzione della corruzione agli enti di diritto privato diversi dalle società è possibile adottare un criterio analogo a quello individuato per l’applicazione della medesima disciplina alle società pubbliche, identificando quelli che possono ritenersi sottoposti al controllo delle pubbliche amministrazioni e quelli meramente partecipati.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La distinzione ha effetti sull’applicazione differenziata della normativa anticorruzione in ragione del diverso grado di coinvolgimento delle amministrazioni negli assetti degli enti come di seguito approfondito.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3.1.1.  Gli altri enti di diritto privato in controllo pubblico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Ai sensi dell’art. 1, co. 60, della legge n. 190 del 2012, dell’art. 11 del d.lgs. n. 33 del 2013 e dell’art. 1, co. 2, lettera c), del d.lgs. n. 39 del 2013, sono tenuti all’applicazione della normativa in materia di prevenzione della corruzione anche gli altri enti di diritto privato in controllo pubblico diversi dalle società, con particolare riguardo agli enti costituiti in forma di “fondazione” o di “associazione” ai sensi del Libro I, Titolo II, capo II, del codice civile. Anche per tali enti si pone, analogamente a quanto avviene per le società controllate, il problema dell’esposizione al rischio di corruzione che il legislatore ha inteso prevenire con la normativa anticorruzione in relazione alle pubbliche amministrazioni.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Per quanto concerne l’individuazione degli enti in parola, l’art. 1, co. 2, lettera c), del d.lgs. n. 39/2013 prevede che per «enti di diritto privato in controllo pubblico» si intendono «le società e gli altri enti di diritto privato che esercitano funzioni amministrative, attività di produzione di beni e servizi a favore delle amministrazioni pubbliche o di gestione di servizi pubblici, sottoposti a controllo ai sensi dell’art. 2359 del codice civile da parte di amministrazioni pubbliche, oppure gli enti nei quali siano riconosciuti alle pubbliche amministrazioni, anche in assenza di una partecipazione azionaria, poteri di nomina dei vertici o dei componenti degli organi». Il medesimo testo è riproposto nell’art. 11 del d.lgs. n. 33 del 2013, come sostituito dall’art. 24-bis, co. 1, del dl. n. 90 del 2014, in cui si precisa, tuttavia, che l’attuazione delle disposizioni in materia di trasparenza deve avvenire da parte di </w:t>
      </w:r>
      <w:r w:rsidRPr="002A4E21">
        <w:rPr>
          <w:rFonts w:ascii="Kristen ITC" w:hAnsi="Kristen ITC"/>
          <w:sz w:val="24"/>
          <w:szCs w:val="24"/>
        </w:rPr>
        <w:lastRenderedPageBreak/>
        <w:t xml:space="preserve">questi enti solo limitatamente all’attività di pubblico interesse disciplinata dal diritto nazionale o dell’Unione europea. </w:t>
      </w:r>
    </w:p>
    <w:p w:rsidR="002A4E21" w:rsidRPr="002A4E21" w:rsidRDefault="002A4E21" w:rsidP="002A4E21">
      <w:pPr>
        <w:jc w:val="both"/>
        <w:rPr>
          <w:rFonts w:ascii="Kristen ITC" w:hAnsi="Kristen ITC"/>
          <w:sz w:val="24"/>
          <w:szCs w:val="24"/>
        </w:rPr>
      </w:pP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Autorità Nazionale Anticorruzione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25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Dalla disciplina positiva e dall’analisi giurisprudenziale emerge che il fenomeno degli enti di diritto privato in controllo pubblico è particolarmente complesso. Gli enti in questione hanno caratteristiche e struttura eterogenee, non sono riconducibili ad una categoria unitaria e non sussiste, per la loro individuazione, una nozione di controllo analoga a quella dettata dall’art. 2359 del codice civile per le società. Si deve trattare di enti, in particolare associazioni e fondazioni, che hanno natura privatistica, non necessariamente con personalità giuridica, rispetto ai quali sono riconosciuti in capo alle amministrazioni pubbliche poteri di controllo che complessivamente consentono di esercitare un potere di ingerenza sull’attività con carattere di continuità ovvero un’influenza dominante sulle decisioni dell’ente.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Fermo restando il potere di ingerenza, al fine di identificare tali enti, si può utilizzare il metodo della individuazione di alcuni indici, la cui ricorrenza nel caso concreto può considerarsi sintomatica della sussistenza di un controllo pubblico. Di seguito si elencano alcuni indici in via esemplificativa: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1. l’istituzione dell’ente in base alla legge o atto dell’amministrazione interessata, oppure la predeterminazione, ad opera della legge, delle finalità istituzionali o di una disciplina speciale;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2. la nomina dei componenti degli organi di indirizzo e/o direttivi e/o di controllo da parte dell’amministrazione;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3. il prevalente o parziale finanziamento dell’attività istituzionale con fondi pubblici o il riconoscimento agli enti del diritto di percepire contributi pubblici. Ciò </w:t>
      </w:r>
      <w:r w:rsidRPr="002A4E21">
        <w:rPr>
          <w:rFonts w:ascii="Kristen ITC" w:hAnsi="Kristen ITC"/>
          <w:sz w:val="24"/>
          <w:szCs w:val="24"/>
        </w:rPr>
        <w:lastRenderedPageBreak/>
        <w:t xml:space="preserve">comporta che la gestione finanziaria degli stessi sia soggetta al controllo della Corte dei conti con le modalità previste dall’art. 2 della l. n. 259 del 1958 per la gestione finanziaria degli enti cui lo Stato contribuisce in via ordinaria;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4. il riconoscimento in capo all’amministrazione di poteri di vigilanza, tra i quali, ad esempio: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l’approvazione, da parte dell’amministrazione, dello statuto, delle eventuali delibere di trasformazione e di scioglimento;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l’approvazione, da parte dell’amministrazione, delle altre delibere più significative, come quelle di programmazione e rendicontazione economico – finanziaria;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l’attribuzione all’amministrazione di poteri di scioglimento degli organi e di commissariamento e/o estinzione in caso di impossibilità al raggiungimento dei fini statutari o in caso di irregolarità o gravi violazioni di disposizioni legislative nonché in altri casi stabiliti dallo statuto;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5. la limitazione, da parte della legge, dell’apporto di capitale privato o della partecipazione dei privati;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6. per le associazioni, la titolarità pubblica della maggioranza delle quote. </w:t>
      </w:r>
    </w:p>
    <w:p w:rsidR="002A4E21" w:rsidRPr="002A4E21" w:rsidRDefault="002A4E21" w:rsidP="002A4E21">
      <w:pPr>
        <w:jc w:val="both"/>
        <w:rPr>
          <w:rFonts w:ascii="Kristen ITC" w:hAnsi="Kristen ITC"/>
          <w:sz w:val="24"/>
          <w:szCs w:val="24"/>
        </w:rPr>
      </w:pP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Autorità Nazionale Anticorruzione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26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Perché si verifichi l’esistenza di un controllo dell’amministrazione occorre, anche in presenza dei suddetti indici, procedere ad un’analisi in concreto del rapporto tra amministrazione ed ente. In alcuni casi è possibile che la presenza anche di uno solo dei suddetti indici sia già idonea a determinare un controllo vero e proprio, come avviene, ad esempio, nel caso in cui all’amministrazione competa la nomina della maggioranza dei componenti degli organi direttivi e/o di indirizzo. Questo criterio, anche isolatamente considerato, consente di individuare una posizione di controllo pubblico, sempre che a tali organi siano demandate le principali scelte programmatiche. Nella maggioranza dei casi, invece, verificata la presenza dei </w:t>
      </w:r>
      <w:r w:rsidRPr="002A4E21">
        <w:rPr>
          <w:rFonts w:ascii="Kristen ITC" w:hAnsi="Kristen ITC"/>
          <w:sz w:val="24"/>
          <w:szCs w:val="24"/>
        </w:rPr>
        <w:lastRenderedPageBreak/>
        <w:t xml:space="preserve">predetti indici, occorre procedere ad un’analisi in concreto del rapporto tra amministrazione ed ente.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Sempre in via generale, può avere rilievo, ai fini della individuazione della categoria, il carattere delle attività svolte, quali, come si è visto, la finalizzazione delle attività alla realizzazione di un interesse pubblico: gli enti in questione, pur avendo natura privatistica, svolgono funzioni che rientrano nell’ambito dei compiti tipicamente appartenenti ai pubblici poteri, ossia funzioni cui le pubbliche amministrazioni, in loro mancanza, dovrebbero sopperire. L’assimilazione alle amministrazioni pubbliche si deve alla pubblicità delle attività svolte dai suddetti enti, alla strumentalità degli stessi rispetto al conseguimento di finalità di chiara impronta pubblicistica. In particolare, secondo il tenore letterale del d.lgs. n. 33 del 2013 e del d.lgs. n. 39 del 2013, occorre ricondurre alla categoria degli enti di diritto privato in controllo pubblico quelli che esercitano funzioni amministrative, attività di produzione di beni e servizi a favore delle amministrazioni pubbliche, gestiscono servizi pubblici, ossia servizi qualificati tali perché l’attività in cui consistono si indirizza istituzionalmente al pubblico, mirando a soddisfare esigenze della collettività in coerenza con i compiti dell’amministrazione pubblica.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Ai fini dell’identificazione degli enti in questione, spetta, innanzitutto, alle amministrazioni specificare, anche sulla base delle indicazioni sopra fornite, quali siano gli enti di diritto privato in loro controllo. Detta ricognizione è resa necessaria dall’art. 22, co. 1, </w:t>
      </w:r>
      <w:proofErr w:type="spellStart"/>
      <w:r w:rsidRPr="002A4E21">
        <w:rPr>
          <w:rFonts w:ascii="Kristen ITC" w:hAnsi="Kristen ITC"/>
          <w:sz w:val="24"/>
          <w:szCs w:val="24"/>
        </w:rPr>
        <w:t>lett</w:t>
      </w:r>
      <w:proofErr w:type="spellEnd"/>
      <w:r w:rsidRPr="002A4E21">
        <w:rPr>
          <w:rFonts w:ascii="Kristen ITC" w:hAnsi="Kristen ITC"/>
          <w:sz w:val="24"/>
          <w:szCs w:val="24"/>
        </w:rPr>
        <w:t xml:space="preserve">. c), del d.lgs. n. 33 del 2013, secondo cui ciascuna amministrazione è tenuta a pubblicare l’elenco degli enti di diritto privato, comunque denominati, controllati “con l’indicazione delle funzioni attribuite, delle attività svolte in favore dell’amministrazione o delle attività di servizio pubblico affidate”.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3.1.2. Le misure organizzative per la prevenzione della 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Gli enti di diritto privato in controllo pubblico sono tenuti ad applicare la normativa sulla prevenzione della corruzione. Per quanto attiene alle iniziative da porre in </w:t>
      </w:r>
      <w:r w:rsidRPr="002A4E21">
        <w:rPr>
          <w:rFonts w:ascii="Kristen ITC" w:hAnsi="Kristen ITC"/>
          <w:sz w:val="24"/>
          <w:szCs w:val="24"/>
        </w:rPr>
        <w:lastRenderedPageBreak/>
        <w:t xml:space="preserve">essere, valgono le indicazioni formulate in relazione alle società controllate (v. par. 2.1.1.).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Le amministrazioni controllanti assicurano, quindi, l’adozione del modello previsto dal d.lgs. n. 231/2001 da integrare con le misure organizzative e di gestione per la prevenzione della corruzione ex </w:t>
      </w:r>
      <w:proofErr w:type="spellStart"/>
      <w:r w:rsidRPr="002A4E21">
        <w:rPr>
          <w:rFonts w:ascii="Kristen ITC" w:hAnsi="Kristen ITC"/>
          <w:sz w:val="24"/>
          <w:szCs w:val="24"/>
        </w:rPr>
        <w:t>lege</w:t>
      </w:r>
      <w:proofErr w:type="spellEnd"/>
      <w:r w:rsidRPr="002A4E21">
        <w:rPr>
          <w:rFonts w:ascii="Kristen ITC" w:hAnsi="Kristen ITC"/>
          <w:sz w:val="24"/>
          <w:szCs w:val="24"/>
        </w:rPr>
        <w:t xml:space="preserve"> n. 190/2012. Gli enti nominano un Responsabile della prevenzione della corruzione nell’ambito del personale in servizio. Come visto sopra, le misure previste per corrispondere alle finalità della l. n. </w:t>
      </w:r>
    </w:p>
    <w:p w:rsidR="002A4E21" w:rsidRPr="002A4E21" w:rsidRDefault="002A4E21" w:rsidP="002A4E21">
      <w:pPr>
        <w:jc w:val="both"/>
        <w:rPr>
          <w:rFonts w:ascii="Kristen ITC" w:hAnsi="Kristen ITC"/>
          <w:sz w:val="24"/>
          <w:szCs w:val="24"/>
        </w:rPr>
      </w:pP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Autorità Nazionale Anticorruzione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27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190/2012 sono strettamente correlate al modello di organizzazione e gestione previsto dal d.lgs. n. 231 del 2001, anche se è opportuno che i contenuti siano chiaramente identificabili.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Nelle ipotesi residuali, in cui manchi il modello di organizzazione e gestione previsto dal d.lgs. n. 231 del 2001, gli enti sono comunque tenuti ad adottare misure organizzative di prevenzione della corruzione in coerenza con le finalità della legge n. 190/2012, analogamente a quanto sopra indicato per le società in controllo pubblico.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Al RPC spetta la predisposizione delle misure per la prevenzione della corruzione, nonché le proposte di modifica e di aggiornamento. Le misure sono adottate dall’organo di indirizzo dell’ente. Per i contenuti e l’aggiornamento delle misure si rinvia a quanto precisato nel paragrafo 2.1.1. </w:t>
      </w:r>
      <w:proofErr w:type="gramStart"/>
      <w:r w:rsidRPr="002A4E21">
        <w:rPr>
          <w:rFonts w:ascii="Kristen ITC" w:hAnsi="Kristen ITC"/>
          <w:sz w:val="24"/>
          <w:szCs w:val="24"/>
        </w:rPr>
        <w:t>con</w:t>
      </w:r>
      <w:proofErr w:type="gramEnd"/>
      <w:r w:rsidRPr="002A4E21">
        <w:rPr>
          <w:rFonts w:ascii="Kristen ITC" w:hAnsi="Kristen ITC"/>
          <w:sz w:val="24"/>
          <w:szCs w:val="24"/>
        </w:rPr>
        <w:t xml:space="preserve"> riferimento alle società in controllo pubblico.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lastRenderedPageBreak/>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3.1.3. Il Responsabile della prevenzione della 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Per quanto concerne il Responsabile della prevenzione della corruzione, valgono le stesse indicazioni fornite con riguardo alle società controllate nel paragrafo </w:t>
      </w:r>
      <w:proofErr w:type="gramStart"/>
      <w:r w:rsidRPr="002A4E21">
        <w:rPr>
          <w:rFonts w:ascii="Kristen ITC" w:hAnsi="Kristen ITC"/>
          <w:sz w:val="24"/>
          <w:szCs w:val="24"/>
        </w:rPr>
        <w:t>2.1.2.,</w:t>
      </w:r>
      <w:proofErr w:type="gramEnd"/>
      <w:r w:rsidRPr="002A4E21">
        <w:rPr>
          <w:rFonts w:ascii="Kristen ITC" w:hAnsi="Kristen ITC"/>
          <w:sz w:val="24"/>
          <w:szCs w:val="24"/>
        </w:rPr>
        <w:t xml:space="preserve"> al quale dunque si rinvia.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Anche per questi enti, le amministrazioni controllanti inseriscono all’interno dei propri piani di prevenzione della corruzione le misure, anche organizzative, utili ai fini della vigilanza sull’effettiva nomina da parte degli enti di diritto privato in controllo pubblico del RPC e sull’adozione di misure idonee a prevenire fenomeni corruttivi.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3.1.4. La trasparenza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L’art. 11, co. 2, lettera b), del d.lgs. n. 33 del 2013 prevede che sono soggetti a tutti gli obblighi di trasparenza previsti dal medesimo decreto gli enti di diritto privato in controllo pubblico che esercitano funzioni amministrative, attività di produzione di beni e servizi a favore delle amministrazioni pubbliche o di gestione di servizi pubblici o i cui vertici o componenti degli organi siano nominati o designati dalle amministrazioni.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Anche per questi enti, così come per le società in controllo pubblico, la trasparenza deve essere assicurata sia sull’attività, limitatamente a quella di pubblico interesse disciplinata dal diritto nazionale e dell’Unione europea, sia sull’organizzazione.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Ai fini dell’attuazione del d.lgs. n. 33 del 2013, gli enti di diritto privato in controllo pubblico adottano il Programma triennale per la trasparenza e l’integrità, nominano il Responsabile della trasparenza, di norma coincidente con il Responsabile della prevenzione della corruzione, assicurano l’esercizio dell’accesso civico e istituiscono nel proprio sito web una sezione denominata “Amministrazione trasparente”.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lastRenderedPageBreak/>
        <w:t xml:space="preserve"> </w:t>
      </w:r>
    </w:p>
    <w:p w:rsidR="002A4E21" w:rsidRPr="002A4E21" w:rsidRDefault="002A4E21" w:rsidP="002A4E21">
      <w:pPr>
        <w:jc w:val="both"/>
        <w:rPr>
          <w:rFonts w:ascii="Kristen ITC" w:hAnsi="Kristen ITC"/>
          <w:sz w:val="24"/>
          <w:szCs w:val="24"/>
        </w:rPr>
      </w:pP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Autorità Nazionale Anticorruzione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28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Poiché la disciplina è la stessa applicabile alle società in controllo pubblico, si rinvia complessivamente a quanto precisato nel par. 2.1.3. </w:t>
      </w:r>
      <w:proofErr w:type="gramStart"/>
      <w:r w:rsidRPr="002A4E21">
        <w:rPr>
          <w:rFonts w:ascii="Kristen ITC" w:hAnsi="Kristen ITC"/>
          <w:sz w:val="24"/>
          <w:szCs w:val="24"/>
        </w:rPr>
        <w:t>per</w:t>
      </w:r>
      <w:proofErr w:type="gramEnd"/>
      <w:r w:rsidRPr="002A4E21">
        <w:rPr>
          <w:rFonts w:ascii="Kristen ITC" w:hAnsi="Kristen ITC"/>
          <w:sz w:val="24"/>
          <w:szCs w:val="24"/>
        </w:rPr>
        <w:t xml:space="preserve"> dette società.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Per limitare gli oneri derivanti dalla disciplina della trasparenza, qualora gli enti di diritto privato in controllo pubblico non dispongano di un sito web in cui inserire la sezione «Amministrazione trasparente», sarà cura delle amministrazioni controllanti rendere disponibile una sezione del proprio sito in cui gli enti possano pubblicare i dati, ferme restando le rispettive responsabilità.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3.2. Altri enti di diritto privato partecipati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Sono da ricomprendere tra gli “altri enti di diritto privato partecipati” quegli enti di natura privatistica, diversi dalle società, non sottoposti a controllo pubblico, cioè quelli le cui decisioni e la cui attività non risultano soggette al controllo dell’amministrazione nelle forme e nei modi illustrati nel paragrafo 3.1. Questi enti sono rilevanti ai fini della normativa in materia di prevenzione della corruzione e trasparenza in quanto comunque partecipati da amministrazioni.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Infatti, detti enti, pur avendo natura di diritto privato, si possono configurare quali strutture organizzative che hanno un rilievo pubblico in quanto deputate a svolgere attività amministrative ovvero attività di interesse generale. Nonostante l’autonomia statutaria e gestionale loro riconosciuta, all’amministrazione sono attribuiti poteri di vigilanza in ragione della natura pubblica dell’attività svolta. Detti poteri possono sostanziarsi, ad esempio, nell’approvazione da parte </w:t>
      </w:r>
      <w:r w:rsidRPr="002A4E21">
        <w:rPr>
          <w:rFonts w:ascii="Kristen ITC" w:hAnsi="Kristen ITC"/>
          <w:sz w:val="24"/>
          <w:szCs w:val="24"/>
        </w:rPr>
        <w:lastRenderedPageBreak/>
        <w:t xml:space="preserve">dell’amministrazione degli atti fondamentali, nella formulazione di rilievi sui bilanci, nei compiti di verifica dell’effettiva tutela dei beneficiari secondo le forme individuate negli statuti.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Nella categoria degli enti di diritto privato solo partecipati da pubbliche amministrazioni rientrano, anche sulla base della giurisprudenza, ordinaria e costituzionale, le fondazioni bancarie, le casse di previdenza dei liberi professionisti, le associazioni e le fondazioni derivanti dalla trasformazione per legge di istituzioni pubbliche di assistenza e beneficienza, nonostante l’indubbio rilevo di interesse generale delle funzioni ad esse attribuite.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3.2.1. Le misure organizzative di prevenzione della 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In considerazione delle finalità istituzionali perseguite da questi enti non viene meno l’interesse generale alla prevenzione della corruzione. Poiché, però, tali enti non sono considerati in controllo pubblico essi non sono tenuti ad adottare le misure previste dalla l. n. 190/2012 né a nominare un Responsabile della prevenzione della 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E’ compito delle pubbliche amministrazioni partecipanti promuovere, in special modo nel caso in cui esse corrispondano all’ente forme di finanziamento a vario titolo riconosciute, l’adozione di protocolli di legalità che disciplinino specifici obblighi di prevenzione della corruzione e di trasparenza, diversamente calibrati e specificati in base alla tipologia di poteri, di vigilanza, di finanziamento o di nomina, che l’amministrazione esercita. In questi casi i protocolli di legalità devono disciplinare, ad </w:t>
      </w:r>
    </w:p>
    <w:p w:rsidR="002A4E21" w:rsidRPr="002A4E21" w:rsidRDefault="002A4E21" w:rsidP="002A4E21">
      <w:pPr>
        <w:jc w:val="both"/>
        <w:rPr>
          <w:rFonts w:ascii="Kristen ITC" w:hAnsi="Kristen ITC"/>
          <w:sz w:val="24"/>
          <w:szCs w:val="24"/>
        </w:rPr>
      </w:pP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Autorità Nazionale Anticorruzione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29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proofErr w:type="gramStart"/>
      <w:r w:rsidRPr="002A4E21">
        <w:rPr>
          <w:rFonts w:ascii="Kristen ITC" w:hAnsi="Kristen ITC"/>
          <w:sz w:val="24"/>
          <w:szCs w:val="24"/>
        </w:rPr>
        <w:lastRenderedPageBreak/>
        <w:t>esempio</w:t>
      </w:r>
      <w:proofErr w:type="gramEnd"/>
      <w:r w:rsidRPr="002A4E21">
        <w:rPr>
          <w:rFonts w:ascii="Kristen ITC" w:hAnsi="Kristen ITC"/>
          <w:sz w:val="24"/>
          <w:szCs w:val="24"/>
        </w:rPr>
        <w:t xml:space="preserve">, gli obblighi di trasparenza e di informazione sull’uso delle risorse pubbliche da parte dei beneficiari. Nel caso di esercizio di soli poteri di vigilanza, occorre che nei protocolli siano indicate le modalità per rendere tale attività efficace e trasparente, assicurandone la conoscibilità degli esiti.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E’ anche compito delle amministrazioni che a vario titolo vi partecipano, promuovere, da parte di questi soggetti, l’adozione di modelli come quello previsto nel d.lgs. n. 231 del 2001, laddove ciò sia compatibile con la dimensione organizzativa degli stessi.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3.2.2. La trasparenza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Per ragioni di coerenza complessiva nell’interpretazione sistematica delle norme, non essendo tali enti destinatari diretti delle disposizioni contenute nell’art. 11, co. 3, del d.lgs. n. 33 del 2013, le amministrazioni partecipanti sono tenute a promuovere, all’interno dei protocolli di legalità di cui al precedente paragrafo, l’applicazione anche da parte di tali enti degli obblighi di trasparenza individuati per le società a partecipazione pubblica non di controllo.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4. Enti pubblici economici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Gli enti pubblici economici, ancorché svolgano attività di impresa, sono da ritenersi tra i soggetti destinatari della normativa in materia di anticorruzione e trasparenza in quanto enti che perseguono finalità pubbliche. L’art. 1, commi 59 e 60, della legge n. 190 del 2012, non può che ricevere una interpretazione costituzionalmente orientata volta a ricomprendere nel novero dei soggetti tenuti all’applicazione delle disposizioni di prevenzione della corruzione anche gli enti pubblici economici atteso che, anche per la natura delle funzioni svolte, essi sono esposti ai medesimi rischi che il legislatore ha inteso prevenire per le pubbliche amministrazioni, per le società, e gli altri enti di diritto privato controllati o partecipati. Diversamente, la normativa genererebbe un’evidente asimmetria applicandosi a soggetti privati, quali le società, che esercitano attività d’impresa, ma non ad enti pubblici che pure svolgono il medesimo tipo di attività.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Gli enti pubblici economici, d’altra parte, sono da subito stati inclusi dal Piano Nazionale Anticorruzione tra i soggetti cui applicare le disposizioni in materia di </w:t>
      </w:r>
      <w:r w:rsidRPr="002A4E21">
        <w:rPr>
          <w:rFonts w:ascii="Kristen ITC" w:hAnsi="Kristen ITC"/>
          <w:sz w:val="24"/>
          <w:szCs w:val="24"/>
        </w:rPr>
        <w:lastRenderedPageBreak/>
        <w:t xml:space="preserve">prevenzione della corruzione e trasparenza della legge n. 190 del 2012. La delibera dell’Autorità n. 50 del 2013 aveva chiarito l’applicabilità ad essi delle misure di trasparenza, anche se, allora, limitatamente, alle previsioni dei commi da 15 a 33 dell’art. 1 della legge n. 190. Da ultimo, a ulteriore conferma, è intervenuta la modifica dell’art. 11 del d.lgs. n. 33 del 2013, che al co. 2, </w:t>
      </w:r>
      <w:proofErr w:type="spellStart"/>
      <w:r w:rsidRPr="002A4E21">
        <w:rPr>
          <w:rFonts w:ascii="Kristen ITC" w:hAnsi="Kristen ITC"/>
          <w:sz w:val="24"/>
          <w:szCs w:val="24"/>
        </w:rPr>
        <w:t>lett</w:t>
      </w:r>
      <w:proofErr w:type="spellEnd"/>
      <w:r w:rsidRPr="002A4E21">
        <w:rPr>
          <w:rFonts w:ascii="Kristen ITC" w:hAnsi="Kristen ITC"/>
          <w:sz w:val="24"/>
          <w:szCs w:val="24"/>
        </w:rPr>
        <w:t xml:space="preserve">. a), si riferisce agli «enti di diritto pubblico non territoriali, comunque denominati, istituiti, vigilati, finanziati dalla pubblica amministrazione, ovvero i cui amministratori siano da questa nominati», tra cui rientrano gli enti pubblici economici, come ha precisato l’Autorità con la delibera n. 144 del 2014.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Autorità Nazionale Anticorruzione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30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4.1. Le misure organizzative per la prevenzione della corruzione e il Responsabile della prevenzione della 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Nella prospettiva indicata, le misure introdotte dalla legge n. 190 del 2012 ai fini di prevenzione della corruzione si applicano agli enti pubblici economici.  In particolare, considerate le attività svolte in regime di diritto privato e tenuto conto che a tali enti si applicano le disposizioni previste dal d.lgs. n. 231/2001 appare coerente un’interpretazione delle norme che prevede l’applicazione delle misure stabilite per le società in controllo pubblico e indicate nei paragrafi 2.1.1. </w:t>
      </w:r>
      <w:proofErr w:type="gramStart"/>
      <w:r w:rsidRPr="002A4E21">
        <w:rPr>
          <w:rFonts w:ascii="Kristen ITC" w:hAnsi="Kristen ITC"/>
          <w:sz w:val="24"/>
          <w:szCs w:val="24"/>
        </w:rPr>
        <w:t>e</w:t>
      </w:r>
      <w:proofErr w:type="gramEnd"/>
      <w:r w:rsidRPr="002A4E21">
        <w:rPr>
          <w:rFonts w:ascii="Kristen ITC" w:hAnsi="Kristen ITC"/>
          <w:sz w:val="24"/>
          <w:szCs w:val="24"/>
        </w:rPr>
        <w:t xml:space="preserve"> 2.1.2. </w:t>
      </w:r>
      <w:proofErr w:type="gramStart"/>
      <w:r w:rsidRPr="002A4E21">
        <w:rPr>
          <w:rFonts w:ascii="Kristen ITC" w:hAnsi="Kristen ITC"/>
          <w:sz w:val="24"/>
          <w:szCs w:val="24"/>
        </w:rPr>
        <w:t>ai</w:t>
      </w:r>
      <w:proofErr w:type="gramEnd"/>
      <w:r w:rsidRPr="002A4E21">
        <w:rPr>
          <w:rFonts w:ascii="Kristen ITC" w:hAnsi="Kristen ITC"/>
          <w:sz w:val="24"/>
          <w:szCs w:val="24"/>
        </w:rPr>
        <w:t xml:space="preserve"> quali, dunque, si rinvia.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4.2. La trasparenza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A seguito delle modifiche introdotte dal </w:t>
      </w:r>
      <w:proofErr w:type="spellStart"/>
      <w:r w:rsidRPr="002A4E21">
        <w:rPr>
          <w:rFonts w:ascii="Kristen ITC" w:hAnsi="Kristen ITC"/>
          <w:sz w:val="24"/>
          <w:szCs w:val="24"/>
        </w:rPr>
        <w:t>d.l.</w:t>
      </w:r>
      <w:proofErr w:type="spellEnd"/>
      <w:r w:rsidRPr="002A4E21">
        <w:rPr>
          <w:rFonts w:ascii="Kristen ITC" w:hAnsi="Kristen ITC"/>
          <w:sz w:val="24"/>
          <w:szCs w:val="24"/>
        </w:rPr>
        <w:t xml:space="preserve"> n. 90 del 2014 all’art. 11 del d.lgs. n. 33 del 2013 gli enti pubblici economici sono tenuti ad osservare la medesima disciplina in materia di trasparenza prevista per le pubbliche amministrazioni.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lastRenderedPageBreak/>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Sulla base del nuovo quadro normativo sono, pertanto, da ritenersi superate le indicazioni in materia di trasparenza rivolte agli enti pubblici economici contenute nella delibera A.N.AC. n. 50 del 2013 e nel PNA.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Per l’attuazione degli obblighi di trasparenza del d.lgs. n. 33 del 2013 gli enti pubblici economici adottano il Programma triennale per la trasparenza e l’integrità, nominano il Responsabile della trasparenza, di norma coincidente con il Responsabile della prevenzione della corruzione, istituiscono sul proprio sito web una sezione denominata “Amministrazione trasparente” nella quale pubblicano i documenti, le informazioni e i dati previsti dal d.lgs. n. 33/2013 e assicurano l’esercizio dell’accesso civico.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5. Attività di vigilanza dell’A.N.AC.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Come sopra ricordato le pubbliche amministrazioni redigono e pubblicano sul proprio sito istituzionale, ai sensi dell’art. 22, co. 1, del d.lgs. n. 33 del 2013, un elenco degli enti e delle società da esse partecipate o controllate.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L’attività di vigilanza e controllo </w:t>
      </w:r>
      <w:proofErr w:type="gramStart"/>
      <w:r w:rsidRPr="002A4E21">
        <w:rPr>
          <w:rFonts w:ascii="Kristen ITC" w:hAnsi="Kristen ITC"/>
          <w:sz w:val="24"/>
          <w:szCs w:val="24"/>
        </w:rPr>
        <w:t>dell’A.N.AC.,</w:t>
      </w:r>
      <w:proofErr w:type="gramEnd"/>
      <w:r w:rsidRPr="002A4E21">
        <w:rPr>
          <w:rFonts w:ascii="Kristen ITC" w:hAnsi="Kristen ITC"/>
          <w:sz w:val="24"/>
          <w:szCs w:val="24"/>
        </w:rPr>
        <w:t xml:space="preserve"> che può comportare anche l’adozione di sanzioni, è svolta anche tenuto conto di tali elenchi nonché dei dati sulle società partecipate comunicati dalle pubbliche amministrazioni al Dipartimento del Tesoro del MEF, in attuazione del decreto del Ministero dell’Economia del 30 luglio 2010(adottato ai sensi dell’art. 2, co. 222, della l. n. 191/2009), e dell’art. 17, co. 3 e 4, del </w:t>
      </w:r>
      <w:proofErr w:type="spellStart"/>
      <w:r w:rsidRPr="002A4E21">
        <w:rPr>
          <w:rFonts w:ascii="Kristen ITC" w:hAnsi="Kristen ITC"/>
          <w:sz w:val="24"/>
          <w:szCs w:val="24"/>
        </w:rPr>
        <w:t>d.l.</w:t>
      </w:r>
      <w:proofErr w:type="spellEnd"/>
      <w:r w:rsidRPr="002A4E21">
        <w:rPr>
          <w:rFonts w:ascii="Kristen ITC" w:hAnsi="Kristen ITC"/>
          <w:sz w:val="24"/>
          <w:szCs w:val="24"/>
        </w:rPr>
        <w:t xml:space="preserve"> n. 90/2014, convertito con modificazioni dalla legge 11 agosto 2014.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I documenti contenenti le misure di prevenzione della corruzione ex </w:t>
      </w:r>
      <w:proofErr w:type="spellStart"/>
      <w:r w:rsidRPr="002A4E21">
        <w:rPr>
          <w:rFonts w:ascii="Kristen ITC" w:hAnsi="Kristen ITC"/>
          <w:sz w:val="24"/>
          <w:szCs w:val="24"/>
        </w:rPr>
        <w:t>lege</w:t>
      </w:r>
      <w:proofErr w:type="spellEnd"/>
      <w:r w:rsidRPr="002A4E21">
        <w:rPr>
          <w:rFonts w:ascii="Kristen ITC" w:hAnsi="Kristen ITC"/>
          <w:sz w:val="24"/>
          <w:szCs w:val="24"/>
        </w:rPr>
        <w:t xml:space="preserve"> n. 190/2012 e i loro aggiornamenti, ivi inclusi i Programmi triennali per la trasparenza e l’integrità, devono essere pubblicati esclusivamente nei siti istituzionali delle società e degli enti, nella sezione “Amministrazione </w:t>
      </w:r>
      <w:proofErr w:type="gramStart"/>
      <w:r w:rsidRPr="002A4E21">
        <w:rPr>
          <w:rFonts w:ascii="Kristen ITC" w:hAnsi="Kristen ITC"/>
          <w:sz w:val="24"/>
          <w:szCs w:val="24"/>
        </w:rPr>
        <w:t>trasparente”/</w:t>
      </w:r>
      <w:proofErr w:type="gramEnd"/>
      <w:r w:rsidRPr="002A4E21">
        <w:rPr>
          <w:rFonts w:ascii="Kristen ITC" w:hAnsi="Kristen ITC"/>
          <w:sz w:val="24"/>
          <w:szCs w:val="24"/>
        </w:rPr>
        <w:t xml:space="preserve">“Società trasparente” sotto-sezione “Altri contenuti – Corruzione”. In una logica di </w:t>
      </w:r>
    </w:p>
    <w:p w:rsidR="002A4E21" w:rsidRPr="002A4E21" w:rsidRDefault="002A4E21" w:rsidP="002A4E21">
      <w:pPr>
        <w:jc w:val="both"/>
        <w:rPr>
          <w:rFonts w:ascii="Kristen ITC" w:hAnsi="Kristen ITC"/>
          <w:sz w:val="24"/>
          <w:szCs w:val="24"/>
        </w:rPr>
      </w:pP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lastRenderedPageBreak/>
        <w:t xml:space="preserve"> Autorità Nazionale Anticorruzione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31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proofErr w:type="gramStart"/>
      <w:r w:rsidRPr="002A4E21">
        <w:rPr>
          <w:rFonts w:ascii="Kristen ITC" w:hAnsi="Kristen ITC"/>
          <w:sz w:val="24"/>
          <w:szCs w:val="24"/>
        </w:rPr>
        <w:t>semplificazione</w:t>
      </w:r>
      <w:proofErr w:type="gramEnd"/>
      <w:r w:rsidRPr="002A4E21">
        <w:rPr>
          <w:rFonts w:ascii="Kristen ITC" w:hAnsi="Kristen ITC"/>
          <w:sz w:val="24"/>
          <w:szCs w:val="24"/>
        </w:rPr>
        <w:t xml:space="preserve"> degli oneri, pertanto, essi non devono essere trasmessi all’A.N.AC. </w:t>
      </w:r>
      <w:proofErr w:type="gramStart"/>
      <w:r w:rsidRPr="002A4E21">
        <w:rPr>
          <w:rFonts w:ascii="Kristen ITC" w:hAnsi="Kristen ITC"/>
          <w:sz w:val="24"/>
          <w:szCs w:val="24"/>
        </w:rPr>
        <w:t>né</w:t>
      </w:r>
      <w:proofErr w:type="gramEnd"/>
      <w:r w:rsidRPr="002A4E21">
        <w:rPr>
          <w:rFonts w:ascii="Kristen ITC" w:hAnsi="Kristen ITC"/>
          <w:sz w:val="24"/>
          <w:szCs w:val="24"/>
        </w:rPr>
        <w:t xml:space="preserve"> al Dipartimento della Funzione Pubblica mediante il sistema integrato “PERLA PA”.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6. Disciplina transitoria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Considerate le modifiche apportate dalla disciplina delle presenti Linee guida rispetto ai contenuti del PNA, le società e gli altri enti di diritto privato in controllo pubblico, nonché gli enti pubblici economici, procedono, qualora non l’abbiano già fatto, a nominare tempestivamente il Responsabile della prevenzione della corruzione affinché predisponga entro il 15 dicembre 2015 una relazione recante i risultati dell’attività di prevenzione svolta sulla base di quanto già previsto dal PNA e dando conto delle misure già adottate in attuazione delle presenti Linee guida. L’adeguamento alle presenti Linee guida, con l’adozione delle misure di organizzazione e gestione per la prevenzione della corruzione ex </w:t>
      </w:r>
      <w:proofErr w:type="spellStart"/>
      <w:r w:rsidRPr="002A4E21">
        <w:rPr>
          <w:rFonts w:ascii="Kristen ITC" w:hAnsi="Kristen ITC"/>
          <w:sz w:val="24"/>
          <w:szCs w:val="24"/>
        </w:rPr>
        <w:t>lege</w:t>
      </w:r>
      <w:proofErr w:type="spellEnd"/>
      <w:r w:rsidRPr="002A4E21">
        <w:rPr>
          <w:rFonts w:ascii="Kristen ITC" w:hAnsi="Kristen ITC"/>
          <w:sz w:val="24"/>
          <w:szCs w:val="24"/>
        </w:rPr>
        <w:t xml:space="preserve"> n. 190/2012, dovrà comunque avvenire entro il 31 gennaio 2016.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Per quanto attiene alla trasparenza, fermo restando quanto già stabilito anche in termini di sanzioni dall’art. 22 del d.lgs. n. 33/2013, le società e gli enti destinatari delle presenti Linee guida adeguano tempestivamente i propri siti web con i dati e le informazioni da pubblicare, tenuto conto che le disposizioni in materia di trasparenza di cui al d.lgs. n. 33/2013 si applicano a tali soggetti già in virtù di quanto previsto dall’art. 24 bis del </w:t>
      </w:r>
      <w:proofErr w:type="spellStart"/>
      <w:r w:rsidRPr="002A4E21">
        <w:rPr>
          <w:rFonts w:ascii="Kristen ITC" w:hAnsi="Kristen ITC"/>
          <w:sz w:val="24"/>
          <w:szCs w:val="24"/>
        </w:rPr>
        <w:t>d.l.</w:t>
      </w:r>
      <w:proofErr w:type="spellEnd"/>
      <w:r w:rsidRPr="002A4E21">
        <w:rPr>
          <w:rFonts w:ascii="Kristen ITC" w:hAnsi="Kristen ITC"/>
          <w:sz w:val="24"/>
          <w:szCs w:val="24"/>
        </w:rPr>
        <w:t xml:space="preserve"> n. 90/2014.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Per le misure di prevenzione della corruzione e di trasparenza da introdurre nelle società e negli altri enti di diritto privato partecipati, le amministrazioni partecipanti promuovono, tempestivamente e comunque non oltre il 31 dicembre 2015, la stipula dei protocolli di legalità, ove è indicata la cadenza temporale delle misure da adottare negli enti. Le presenti Linee guida entrano in vigore dalla data </w:t>
      </w:r>
      <w:r w:rsidRPr="002A4E21">
        <w:rPr>
          <w:rFonts w:ascii="Kristen ITC" w:hAnsi="Kristen ITC"/>
          <w:sz w:val="24"/>
          <w:szCs w:val="24"/>
        </w:rPr>
        <w:lastRenderedPageBreak/>
        <w:t xml:space="preserve">di pubblicazione sul sito istituzionale dell’Autorità. Il Consiglio ne dispone anche la pubblicazione in Gazzetta Ufficiale. </w:t>
      </w:r>
    </w:p>
    <w:p w:rsidR="002A4E21" w:rsidRPr="002A4E21" w:rsidRDefault="002A4E21" w:rsidP="002A4E21">
      <w:pPr>
        <w:jc w:val="both"/>
        <w:rPr>
          <w:rFonts w:ascii="Kristen ITC" w:hAnsi="Kristen ITC"/>
          <w:sz w:val="24"/>
          <w:szCs w:val="24"/>
        </w:rPr>
      </w:pPr>
      <w:r w:rsidRPr="002A4E21">
        <w:rPr>
          <w:rFonts w:ascii="Kristen ITC" w:hAnsi="Kristen ITC"/>
          <w:sz w:val="24"/>
          <w:szCs w:val="24"/>
        </w:rPr>
        <w:t xml:space="preserve"> </w:t>
      </w:r>
    </w:p>
    <w:p w:rsidR="002A4E21" w:rsidRDefault="002A4E21" w:rsidP="002A4E21">
      <w:pPr>
        <w:jc w:val="both"/>
        <w:rPr>
          <w:rFonts w:ascii="Kristen ITC" w:hAnsi="Kristen ITC"/>
          <w:sz w:val="24"/>
          <w:szCs w:val="24"/>
        </w:rPr>
      </w:pPr>
      <w:r w:rsidRPr="002A4E21">
        <w:rPr>
          <w:rFonts w:ascii="Kristen ITC" w:hAnsi="Kristen ITC"/>
          <w:sz w:val="24"/>
          <w:szCs w:val="24"/>
        </w:rPr>
        <w:t xml:space="preserve">Approvato dal Consiglio nella seduta del 17 giugno 2015 </w:t>
      </w:r>
    </w:p>
    <w:p w:rsidR="00D65004" w:rsidRDefault="00D65004" w:rsidP="002A4E21">
      <w:pPr>
        <w:jc w:val="both"/>
        <w:rPr>
          <w:rFonts w:ascii="Kristen ITC" w:hAnsi="Kristen ITC"/>
          <w:sz w:val="24"/>
          <w:szCs w:val="24"/>
        </w:rPr>
      </w:pPr>
      <w:r>
        <w:rPr>
          <w:rFonts w:ascii="Kristen ITC" w:hAnsi="Kristen ITC"/>
          <w:sz w:val="24"/>
          <w:szCs w:val="24"/>
        </w:rPr>
        <w:t>ALLEGATO 1 Deliberazione n. 8</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Principali adattamenti degli obblighi di trasparenza contenuti nel d.lgs. n. 33/2013 per le società e gli enti di diritto privato controllati o partecipati da pubbliche amministrazioni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SOCIETA’ ED ENTI DI DIRITTO PRIVATO CONTROLLATI1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1) Pubblicità dei dati reddituali e patrimoniali relativi ai componenti degli organi di indirizzo politico</w:t>
      </w:r>
      <w:r w:rsidR="00D11A23">
        <w:rPr>
          <w:rFonts w:ascii="Kristen ITC" w:hAnsi="Kristen ITC"/>
          <w:sz w:val="24"/>
          <w:szCs w:val="24"/>
        </w:rPr>
        <w:t>-</w:t>
      </w:r>
      <w:r w:rsidRPr="00D65004">
        <w:rPr>
          <w:rFonts w:ascii="Kristen ITC" w:hAnsi="Kristen ITC"/>
          <w:sz w:val="24"/>
          <w:szCs w:val="24"/>
        </w:rPr>
        <w:t xml:space="preserve">amministrativo (art. 14, d.lgs. 33/2013)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Le società e gli enti sono tenuti ad applicare l’art. 14 con riferimento a tutti i componenti degli organi di indirizzo politico-amministrativo.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2) Pubblicità dei compensi relativi agli incarichi dirigenziali (art. 15, co. 1, </w:t>
      </w:r>
      <w:proofErr w:type="spellStart"/>
      <w:r w:rsidRPr="00D65004">
        <w:rPr>
          <w:rFonts w:ascii="Kristen ITC" w:hAnsi="Kristen ITC"/>
          <w:sz w:val="24"/>
          <w:szCs w:val="24"/>
        </w:rPr>
        <w:t>lett</w:t>
      </w:r>
      <w:proofErr w:type="spellEnd"/>
      <w:r w:rsidRPr="00D65004">
        <w:rPr>
          <w:rFonts w:ascii="Kristen ITC" w:hAnsi="Kristen ITC"/>
          <w:sz w:val="24"/>
          <w:szCs w:val="24"/>
        </w:rPr>
        <w:t xml:space="preserve">. d), d.lgs. 33/2013)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Fermi restando tutti gli altri obblighi di pubblicazione previsti dall’art. 15, per gli incarichi dirigenziali le società e gli enti pubblicano per ciascun soggetto titolare di incarico il relativo compenso, comunque denominato, salvo che non provvedano a distinguere chiaramente, nella propria struttura, le unità organizzative che svolgono attività di pubblico interesse da quelle che svolgono attività commerciali </w:t>
      </w:r>
      <w:r w:rsidRPr="00D65004">
        <w:rPr>
          <w:rFonts w:ascii="Kristen ITC" w:hAnsi="Kristen ITC"/>
          <w:sz w:val="24"/>
          <w:szCs w:val="24"/>
        </w:rPr>
        <w:lastRenderedPageBreak/>
        <w:t xml:space="preserve">in regime concorrenziale. Di tale distinzione deve essere dato conto anche all’interno del Programma triennale per la trasparenza e l’integrità pubblicato sul sito istituzionale.  A tal proposito, al fine di assicurare il pieno rispetto della normativa in materia di trasparenza, le amministrazioni controllanti o vigilanti, laddove dette funzioni siano in capo ad amministrazioni diverse, sono chiamate ad una attenta verifica circa l’identificazione delle attività di pubblico interesse, anche sulla base di quanto contenuto negli atti organizzativi di costituzione degli uffici. In quest’ultimo caso, ferma restando la pubblicazione dei compensi individualmente corrisposti ai dirigenti delle strutture deputate allo svolgimento di attività di pubblico interesse, la pubblicazione dei compensi relativi ai dirigenti delle strutture che svolgono attività commerciali potrà avvenire in forma aggregata dando conto della spesa complessiva sostenuta ciascun anno, con l’indicazione dei livelli più alti e più bassi dei compensi corrisposti.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1 Ad esclusione delle società in </w:t>
      </w:r>
      <w:proofErr w:type="spellStart"/>
      <w:r w:rsidRPr="00D65004">
        <w:rPr>
          <w:rFonts w:ascii="Kristen ITC" w:hAnsi="Kristen ITC"/>
          <w:sz w:val="24"/>
          <w:szCs w:val="24"/>
        </w:rPr>
        <w:t>house</w:t>
      </w:r>
      <w:proofErr w:type="spellEnd"/>
      <w:r w:rsidRPr="00D65004">
        <w:rPr>
          <w:rFonts w:ascii="Kristen ITC" w:hAnsi="Kristen ITC"/>
          <w:sz w:val="24"/>
          <w:szCs w:val="24"/>
        </w:rPr>
        <w:t xml:space="preserve">, cui si applica la disciplina prevista per le pubbliche amministrazioni senza adattamenti. </w:t>
      </w:r>
    </w:p>
    <w:p w:rsidR="00D65004" w:rsidRPr="00D65004" w:rsidRDefault="00D65004" w:rsidP="00D65004">
      <w:pPr>
        <w:jc w:val="both"/>
        <w:rPr>
          <w:rFonts w:ascii="Kristen ITC" w:hAnsi="Kristen ITC"/>
          <w:sz w:val="24"/>
          <w:szCs w:val="24"/>
        </w:rPr>
      </w:pP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Autorità Nazionale Anticorruzione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2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3) Pubblicità dei compensi relativi agli incarichi di collaborazione e consulenza (art. 15, co. 1, </w:t>
      </w:r>
      <w:proofErr w:type="spellStart"/>
      <w:r w:rsidRPr="00D65004">
        <w:rPr>
          <w:rFonts w:ascii="Kristen ITC" w:hAnsi="Kristen ITC"/>
          <w:sz w:val="24"/>
          <w:szCs w:val="24"/>
        </w:rPr>
        <w:t>lett</w:t>
      </w:r>
      <w:proofErr w:type="spellEnd"/>
      <w:r w:rsidRPr="00D65004">
        <w:rPr>
          <w:rFonts w:ascii="Kristen ITC" w:hAnsi="Kristen ITC"/>
          <w:sz w:val="24"/>
          <w:szCs w:val="24"/>
        </w:rPr>
        <w:t xml:space="preserve">. d), d.lgs. 33/2013)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lastRenderedPageBreak/>
        <w:t xml:space="preserve">Fermi restando tutti gli altri obblighi di pubblicazione previsti dall’art. 15 per gli incarichi di collaborazione e consulenza, le società e gli enti pubblicano il compenso di ogni singolo consulente o collaboratore.    Se le società e gli enti individuano e distinguono chiaramente, dandone evidenza anche all’interno del Programma triennale per la trasparenza e l’integrità </w:t>
      </w:r>
      <w:proofErr w:type="gramStart"/>
      <w:r w:rsidRPr="00D65004">
        <w:rPr>
          <w:rFonts w:ascii="Kristen ITC" w:hAnsi="Kristen ITC"/>
          <w:sz w:val="24"/>
          <w:szCs w:val="24"/>
        </w:rPr>
        <w:t>pubblicato  sul</w:t>
      </w:r>
      <w:proofErr w:type="gramEnd"/>
      <w:r w:rsidRPr="00D65004">
        <w:rPr>
          <w:rFonts w:ascii="Kristen ITC" w:hAnsi="Kristen ITC"/>
          <w:sz w:val="24"/>
          <w:szCs w:val="24"/>
        </w:rPr>
        <w:t xml:space="preserve"> sito istituzionale, le consulenze e le collaborazioni connesse ad attività di pubblico interesse e quelle correlate allo svolgimento di attività commerciali in regime concorrenziale, possono pubblicare, limitatamente a queste ultime, i compensi in forma aggregata. In questo caso deve essere dato conto della spesa complessiva sostenuta per ciascun anno, con l’indicazione dei livelli più alti e più bassi dei compensi corrisposti. A tal proposito, al fine di assicurare il pieno rispetto della normativa in materia di </w:t>
      </w:r>
      <w:proofErr w:type="gramStart"/>
      <w:r w:rsidRPr="00D65004">
        <w:rPr>
          <w:rFonts w:ascii="Kristen ITC" w:hAnsi="Kristen ITC"/>
          <w:sz w:val="24"/>
          <w:szCs w:val="24"/>
        </w:rPr>
        <w:t>trasparenza,  le</w:t>
      </w:r>
      <w:proofErr w:type="gramEnd"/>
      <w:r w:rsidRPr="00D65004">
        <w:rPr>
          <w:rFonts w:ascii="Kristen ITC" w:hAnsi="Kristen ITC"/>
          <w:sz w:val="24"/>
          <w:szCs w:val="24"/>
        </w:rPr>
        <w:t xml:space="preserve"> amministrazioni controllanti o vigilanti, laddove dette funzioni siano in capo ad amministrazioni diverse, sono chiamate ad una attenta verifica circa l’identificazione delle attività di pubblico interesse, anche sulla base di quanto contenuto negli atti organizzativi di costituzione degli uffici.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Le società e gli enti possono eventualmente differire la pubblicazione dei compensi laddove sussistano esigenze di riservatezza legate alla natura concorrenziale delle attività svolte.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4) Personale (artt. 16, 17 e 21, d.lgs. 33/2013)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Le società e gli enti pubblicano, su base annuale, il numero e il costo annuale del personale a tempo indeterminato e determinato in servizio e i dati sui tassi di assenza. Essi rendono inoltre disponibile sul sito il contratto nazionale di categoria di riferimento del personale della società o dell’ente.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5) Selezione del personale (art. 19, d.lgs. 33/2013)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lastRenderedPageBreak/>
        <w:t xml:space="preserve">Le società e gli enti pubblicano i regolamenti e gli atti generali che disciplinano la selezione del personale e i documenti e le informazioni relativi all’avvio di ogni singola procedura selettiva – avviso, criteri di selezione – e all’esito della stessa.  Tali modalità di pubblicazione tengono conto che in alcune società pubbliche, pur non essendo applicabili le norme che regolano i concorsi pubblici, vi è comunque l’obbligo, nel reclutare il personale, del rispetto dei principi, anche di derivazione europea, di trasparenza, pubblicità e imparzialità (art. 18, co. 2, </w:t>
      </w:r>
      <w:proofErr w:type="spellStart"/>
      <w:r w:rsidRPr="00D65004">
        <w:rPr>
          <w:rFonts w:ascii="Kristen ITC" w:hAnsi="Kristen ITC"/>
          <w:sz w:val="24"/>
          <w:szCs w:val="24"/>
        </w:rPr>
        <w:t>d.l.</w:t>
      </w:r>
      <w:proofErr w:type="spellEnd"/>
      <w:r w:rsidRPr="00D65004">
        <w:rPr>
          <w:rFonts w:ascii="Kristen ITC" w:hAnsi="Kristen ITC"/>
          <w:sz w:val="24"/>
          <w:szCs w:val="24"/>
        </w:rPr>
        <w:t xml:space="preserve"> n. 112 del 2008, convertito in legge 6 agosto 2008, n. 133). Restano fermi gli obblighi di trasparenza relativi al bando e ai criteri di selezione per le società a cui si applica l’art. 18, co. 1, del citato decreto legge.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Autorità Nazionale Anticorruzione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3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6) Valutazione della performance e distribuzione dei premi al personale (art. 20, d.lgs. 33/2013)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proofErr w:type="gramStart"/>
      <w:r w:rsidRPr="00D65004">
        <w:rPr>
          <w:rFonts w:ascii="Kristen ITC" w:hAnsi="Kristen ITC"/>
          <w:sz w:val="24"/>
          <w:szCs w:val="24"/>
        </w:rPr>
        <w:t>Le  società</w:t>
      </w:r>
      <w:proofErr w:type="gramEnd"/>
      <w:r w:rsidRPr="00D65004">
        <w:rPr>
          <w:rFonts w:ascii="Kristen ITC" w:hAnsi="Kristen ITC"/>
          <w:sz w:val="24"/>
          <w:szCs w:val="24"/>
        </w:rPr>
        <w:t xml:space="preserve"> e gli enti adeguano gli obblighi di pubblicazione relativi alla performance ai sistemi di </w:t>
      </w:r>
      <w:proofErr w:type="spellStart"/>
      <w:r w:rsidRPr="00D65004">
        <w:rPr>
          <w:rFonts w:ascii="Kristen ITC" w:hAnsi="Kristen ITC"/>
          <w:sz w:val="24"/>
          <w:szCs w:val="24"/>
        </w:rPr>
        <w:t>premialità</w:t>
      </w:r>
      <w:proofErr w:type="spellEnd"/>
      <w:r w:rsidRPr="00D65004">
        <w:rPr>
          <w:rFonts w:ascii="Kristen ITC" w:hAnsi="Kristen ITC"/>
          <w:sz w:val="24"/>
          <w:szCs w:val="24"/>
        </w:rPr>
        <w:t xml:space="preserve"> in essi esistenti, rendendo comunque disponibili i criteri di distribuzione dei premi al personale e l’ammontare aggregato dei premi effettivamente distribuiti annualmente.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7) Bilancio (art. 29, d.lgs. 33/2013)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lastRenderedPageBreak/>
        <w:t xml:space="preserve">Le società e gli enti pubblicano, su base annuale, il bilancio consuntivo. Esso è reso disponibile in forma sintetica, aggregata e semplificata, anche con il ricorso a rappresentazioni grafiche.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SOCIETA’ ED ENTI DI DIRITTO PRIVATO PARTECIPATI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1) Pubblicità dei dati reddituali e patrimoniali relativi ai componenti degli organi di indirizzo </w:t>
      </w:r>
      <w:proofErr w:type="spellStart"/>
      <w:r w:rsidRPr="00D65004">
        <w:rPr>
          <w:rFonts w:ascii="Kristen ITC" w:hAnsi="Kristen ITC"/>
          <w:sz w:val="24"/>
          <w:szCs w:val="24"/>
        </w:rPr>
        <w:t>politicoamministrativo</w:t>
      </w:r>
      <w:proofErr w:type="spellEnd"/>
      <w:r w:rsidRPr="00D65004">
        <w:rPr>
          <w:rFonts w:ascii="Kristen ITC" w:hAnsi="Kristen ITC"/>
          <w:sz w:val="24"/>
          <w:szCs w:val="24"/>
        </w:rPr>
        <w:t xml:space="preserve"> (art. 14, d.lgs. 33/2013)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L’obbligo di trasparenza dei dati reddituali e patrimoniali di cui all’art. 14, si considera assolto con la pubblicazione dei dati relativi ai soli componenti degli organi nominati o designati dalle amministrazioni partecipanti.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2) Pubblicità dei compensi relativi agli incarichi dirigenziali (art. 15, co. 1, </w:t>
      </w:r>
      <w:proofErr w:type="spellStart"/>
      <w:r w:rsidRPr="00D65004">
        <w:rPr>
          <w:rFonts w:ascii="Kristen ITC" w:hAnsi="Kristen ITC"/>
          <w:sz w:val="24"/>
          <w:szCs w:val="24"/>
        </w:rPr>
        <w:t>lett</w:t>
      </w:r>
      <w:proofErr w:type="spellEnd"/>
      <w:r w:rsidRPr="00D65004">
        <w:rPr>
          <w:rFonts w:ascii="Kristen ITC" w:hAnsi="Kristen ITC"/>
          <w:sz w:val="24"/>
          <w:szCs w:val="24"/>
        </w:rPr>
        <w:t xml:space="preserve">. d), d.lgs. 33/2013)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Fermi restando tutti gli altri obblighi di pubblicazione previsti dall’art. 15, le società e gli enti pubblicano i compensi, comunque denominati, relativi agli incarichi dirigenziali conferiti in forma aggregata dando conto della spesa complessiva sostenuta ciascun anno, con l’indicazione dei livelli più alti e più bassi dei compensi corrisposti, salvo che la società o l’ente non provveda ad identificare chiaramente, nell’ambito della propria struttura, le articolazioni organizzative che svolgono attività di pubblico interesse.  In tale ultimo caso, per i dirigenti preposti alle predette articolazioni organizzative deve essere indicato il compenso da ciascuno di essi percepito.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lastRenderedPageBreak/>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Autorità Nazionale Anticorruzione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4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3) Pubblicità dei compensi relativi agli incarichi di collaborazione e consulenza (art. 15, co. 1, </w:t>
      </w:r>
      <w:proofErr w:type="spellStart"/>
      <w:r w:rsidRPr="00D65004">
        <w:rPr>
          <w:rFonts w:ascii="Kristen ITC" w:hAnsi="Kristen ITC"/>
          <w:sz w:val="24"/>
          <w:szCs w:val="24"/>
        </w:rPr>
        <w:t>lett</w:t>
      </w:r>
      <w:proofErr w:type="spellEnd"/>
      <w:r w:rsidRPr="00D65004">
        <w:rPr>
          <w:rFonts w:ascii="Kristen ITC" w:hAnsi="Kristen ITC"/>
          <w:sz w:val="24"/>
          <w:szCs w:val="24"/>
        </w:rPr>
        <w:t xml:space="preserve">. d), d.lgs. 33/2013)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Fermi restando tutti gli altri obblighi di pubblicazione previsti dall’art. 15, le società e gli enti pubblicano i compensi relativi agli incarichi di collaborazione o consulenza conferiti in forma aggregata dando conto della spesa complessiva sostenuta ciascun anno, con l’indicazione dei livelli più alti e più bassi dei compensi corrisposti, salvo che la società o l’ente non provveda ad identificare e distinguere chiaramente le consulenze e le collaborazioni connesse ad attività di pubblico interesse.  In tale ultimo caso, deve essere indicato il </w:t>
      </w:r>
      <w:proofErr w:type="gramStart"/>
      <w:r w:rsidRPr="00D65004">
        <w:rPr>
          <w:rFonts w:ascii="Kristen ITC" w:hAnsi="Kristen ITC"/>
          <w:sz w:val="24"/>
          <w:szCs w:val="24"/>
        </w:rPr>
        <w:t>compenso  percepito</w:t>
      </w:r>
      <w:proofErr w:type="gramEnd"/>
      <w:r w:rsidRPr="00D65004">
        <w:rPr>
          <w:rFonts w:ascii="Kristen ITC" w:hAnsi="Kristen ITC"/>
          <w:sz w:val="24"/>
          <w:szCs w:val="24"/>
        </w:rPr>
        <w:t xml:space="preserve"> da ciascun consulente o collaboratore.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4) Selezione del personale (art. 19, d.lgs. 33/2013)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Le società e gli enti pubblicano i regolamenti e gli atti generali che disciplinano la selezione del personale e i documenti e le informazioni relativi all’avvio di ogni singola procedura selettiva – avviso, criteri di selezione – e all’esito della stessa.  Tali </w:t>
      </w:r>
      <w:r w:rsidRPr="00D65004">
        <w:rPr>
          <w:rFonts w:ascii="Kristen ITC" w:hAnsi="Kristen ITC"/>
          <w:sz w:val="24"/>
          <w:szCs w:val="24"/>
        </w:rPr>
        <w:lastRenderedPageBreak/>
        <w:t xml:space="preserve">modalità di pubblicazione tengono conto che in alcune società pubbliche, pur non essendo applicabili le norme che regolano i concorsi pubblici, vi è comunque l’obbligo, nel reclutare il personale, del rispetto dei principi, anche di derivazione europea, di trasparenza, pubblicità e imparzialità (art. 18, co. 2, </w:t>
      </w:r>
      <w:proofErr w:type="spellStart"/>
      <w:r w:rsidRPr="00D65004">
        <w:rPr>
          <w:rFonts w:ascii="Kristen ITC" w:hAnsi="Kristen ITC"/>
          <w:sz w:val="24"/>
          <w:szCs w:val="24"/>
        </w:rPr>
        <w:t>d.l.</w:t>
      </w:r>
      <w:proofErr w:type="spellEnd"/>
      <w:r w:rsidRPr="00D65004">
        <w:rPr>
          <w:rFonts w:ascii="Kristen ITC" w:hAnsi="Kristen ITC"/>
          <w:sz w:val="24"/>
          <w:szCs w:val="24"/>
        </w:rPr>
        <w:t xml:space="preserve"> n. 112 del 2008, convertito in legge 6 agosto 2008, n. 133). Restano fermi gli obblighi di trasparenza relativi al bando e ai criteri di selezione per le società a cui si applica l’art. 18, co. 1, del citato decreto legge.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5) Bilancio (art. 29, d.lgs. 33/2013)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Le società e gli enti pubblicano, su base annuale, il bilancio consuntivo. Esso è reso disponibile in forma sintetica, aggregata e semplificata, anche con il ricorso a rappresentazioni grafiche.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Tenuto conto della natura privatistica di tutti gli enti e delle società considerati nelle linee guida e del tipo di attività svolta, non sono considerati applicabili a tali soggetti alcuni obblighi di trasparenza contenuti nel d.lgs. n. 33/2013 quali, ad esempio, quelli sui controlli sulle imprese (art. 25), il Piano degli indicatori e risultati attesi di bilancio (art. 29), gli oneri informativi per cittadini ed imprese (art. 12, co. 1-bis).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Si ricorda, infine, che in virtù del principio di trasparenza quale “accessibilità totale”, come ribadito dal d.lgs. 33/2013, è auspicabile che le società e gli enti, nell’esercizio della propria discrezionalità e in </w:t>
      </w:r>
    </w:p>
    <w:p w:rsidR="00D65004" w:rsidRPr="00D65004" w:rsidRDefault="00D65004" w:rsidP="00D65004">
      <w:pPr>
        <w:jc w:val="both"/>
        <w:rPr>
          <w:rFonts w:ascii="Kristen ITC" w:hAnsi="Kristen ITC"/>
          <w:sz w:val="24"/>
          <w:szCs w:val="24"/>
        </w:rPr>
      </w:pP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lastRenderedPageBreak/>
        <w:t xml:space="preserve"> Autorità Nazionale Anticorruzione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5 </w:t>
      </w:r>
    </w:p>
    <w:p w:rsidR="00D65004" w:rsidRPr="00D65004" w:rsidRDefault="00D65004" w:rsidP="00D65004">
      <w:pPr>
        <w:jc w:val="both"/>
        <w:rPr>
          <w:rFonts w:ascii="Kristen ITC" w:hAnsi="Kristen ITC"/>
          <w:sz w:val="24"/>
          <w:szCs w:val="24"/>
        </w:rPr>
      </w:pPr>
      <w:r w:rsidRPr="00D65004">
        <w:rPr>
          <w:rFonts w:ascii="Kristen ITC" w:hAnsi="Kristen ITC"/>
          <w:sz w:val="24"/>
          <w:szCs w:val="24"/>
        </w:rPr>
        <w:t xml:space="preserve"> </w:t>
      </w:r>
    </w:p>
    <w:p w:rsidR="00D65004" w:rsidRPr="002A4E21" w:rsidRDefault="00D65004" w:rsidP="00D65004">
      <w:pPr>
        <w:jc w:val="both"/>
        <w:rPr>
          <w:rFonts w:ascii="Kristen ITC" w:hAnsi="Kristen ITC"/>
          <w:sz w:val="24"/>
          <w:szCs w:val="24"/>
        </w:rPr>
      </w:pPr>
      <w:proofErr w:type="gramStart"/>
      <w:r w:rsidRPr="00D65004">
        <w:rPr>
          <w:rFonts w:ascii="Kristen ITC" w:hAnsi="Kristen ITC"/>
          <w:sz w:val="24"/>
          <w:szCs w:val="24"/>
        </w:rPr>
        <w:t>relazione</w:t>
      </w:r>
      <w:proofErr w:type="gramEnd"/>
      <w:r w:rsidRPr="00D65004">
        <w:rPr>
          <w:rFonts w:ascii="Kristen ITC" w:hAnsi="Kristen ITC"/>
          <w:sz w:val="24"/>
          <w:szCs w:val="24"/>
        </w:rPr>
        <w:t xml:space="preserve"> all’attività di pubblico interesse svolta, pubblichino sui propri siti istituzionali dati “ulteriori” oltre a quelli espressamente indicati e richiesti da specifiche norme di legge.  In proposito, è utile che ciascuna società o ente, in ragione delle proprie caratteristiche strutturali e funzionali, individui i dati ulteriori a partire dalle richieste di conoscenza dei propri portatori di interesse, anche in coerenza con le finalità della legge 190/2012. Si può trattare anche di elaborazioni di “secondo livello” di dati e informazioni obbligatori, resi più comprensibili per gli interlocutori che non hanno specifiche competenze tecniche.  La pubblicazione di dati ulteriori deve in ogni caso essere effettuata nel rispetto dell’art. 4, co. 3, del d.lgs. 33/2013, ovvero “fermi restando i limiti e le condizioni espressamente previsti da disposizioni di legge, procedendo alla </w:t>
      </w:r>
      <w:proofErr w:type="spellStart"/>
      <w:r w:rsidRPr="00D65004">
        <w:rPr>
          <w:rFonts w:ascii="Kristen ITC" w:hAnsi="Kristen ITC"/>
          <w:sz w:val="24"/>
          <w:szCs w:val="24"/>
        </w:rPr>
        <w:t>anonimizzazione</w:t>
      </w:r>
      <w:proofErr w:type="spellEnd"/>
      <w:r w:rsidRPr="00D65004">
        <w:rPr>
          <w:rFonts w:ascii="Kristen ITC" w:hAnsi="Kristen ITC"/>
          <w:sz w:val="24"/>
          <w:szCs w:val="24"/>
        </w:rPr>
        <w:t xml:space="preserve"> dei dati personali eventualmente presenti”. Le società e gli enti di diritto privato controllati riportano nell’ambito del Programma triennale per la trasparenza e l’integrità, all’interno di tabelle pubblicate in formato aperto, i dati ulteriori che intendono pubblicare entro la fine dell’anno e nel triennio. I dati, le informazioni e i documenti ulteriori dovranno essere pubblicati nella sotto-sezione di primo livello “Altri contenuti - Dati ulteriori”, laddove non sia possibile ricondurli ad alcuna delle sottosezioni in cui deve articolarsi la sezione “Amministrazione </w:t>
      </w:r>
      <w:proofErr w:type="gramStart"/>
      <w:r w:rsidRPr="00D65004">
        <w:rPr>
          <w:rFonts w:ascii="Kristen ITC" w:hAnsi="Kristen ITC"/>
          <w:sz w:val="24"/>
          <w:szCs w:val="24"/>
        </w:rPr>
        <w:t>trasparente”/</w:t>
      </w:r>
      <w:proofErr w:type="gramEnd"/>
      <w:r w:rsidRPr="00D65004">
        <w:rPr>
          <w:rFonts w:ascii="Kristen ITC" w:hAnsi="Kristen ITC"/>
          <w:sz w:val="24"/>
          <w:szCs w:val="24"/>
        </w:rPr>
        <w:t>“Società trasparente”.</w:t>
      </w:r>
    </w:p>
    <w:p w:rsidR="00B934F9" w:rsidRPr="00A55B8B" w:rsidRDefault="002A4E21" w:rsidP="002A4E21">
      <w:pPr>
        <w:jc w:val="both"/>
        <w:rPr>
          <w:rFonts w:ascii="Kristen ITC" w:hAnsi="Kristen ITC"/>
          <w:sz w:val="24"/>
          <w:szCs w:val="24"/>
        </w:rPr>
      </w:pPr>
      <w:r>
        <w:rPr>
          <w:rFonts w:ascii="Kristen ITC" w:hAnsi="Kristen ITC"/>
          <w:sz w:val="24"/>
          <w:szCs w:val="24"/>
        </w:rPr>
        <w:t xml:space="preserve"> </w:t>
      </w:r>
      <w:r w:rsidRPr="002A4E21">
        <w:rPr>
          <w:rFonts w:ascii="Kristen ITC" w:hAnsi="Kristen ITC"/>
          <w:sz w:val="24"/>
          <w:szCs w:val="24"/>
        </w:rPr>
        <w:t xml:space="preserve">               </w:t>
      </w:r>
    </w:p>
    <w:p w:rsidR="002A4E21" w:rsidRDefault="002A4E21" w:rsidP="00B934F9">
      <w:pPr>
        <w:jc w:val="center"/>
        <w:rPr>
          <w:rFonts w:ascii="Kristen ITC" w:hAnsi="Kristen ITC"/>
          <w:color w:val="002060"/>
          <w:sz w:val="32"/>
          <w:szCs w:val="32"/>
          <w:u w:val="single"/>
        </w:rPr>
      </w:pPr>
    </w:p>
    <w:p w:rsidR="002A4E21" w:rsidRDefault="002A4E21" w:rsidP="00B934F9">
      <w:pPr>
        <w:jc w:val="center"/>
        <w:rPr>
          <w:rFonts w:ascii="Kristen ITC" w:hAnsi="Kristen ITC"/>
          <w:color w:val="002060"/>
          <w:sz w:val="32"/>
          <w:szCs w:val="32"/>
          <w:u w:val="single"/>
        </w:rPr>
      </w:pPr>
    </w:p>
    <w:p w:rsidR="00B934F9" w:rsidRPr="0027631F" w:rsidRDefault="00B934F9" w:rsidP="00B934F9">
      <w:pPr>
        <w:jc w:val="center"/>
        <w:rPr>
          <w:rFonts w:ascii="Kristen ITC" w:hAnsi="Kristen ITC"/>
          <w:sz w:val="32"/>
          <w:szCs w:val="32"/>
          <w:u w:val="single"/>
        </w:rPr>
      </w:pPr>
      <w:r w:rsidRPr="00CF3E75">
        <w:rPr>
          <w:rFonts w:ascii="Kristen ITC" w:hAnsi="Kristen ITC"/>
          <w:color w:val="002060"/>
          <w:sz w:val="32"/>
          <w:szCs w:val="32"/>
          <w:u w:val="single"/>
        </w:rPr>
        <w:t>La nuova “cultura” della Legalità</w:t>
      </w:r>
    </w:p>
    <w:p w:rsidR="00B934F9" w:rsidRDefault="00B934F9" w:rsidP="00B934F9">
      <w:pPr>
        <w:jc w:val="both"/>
        <w:rPr>
          <w:rFonts w:ascii="Kristen ITC" w:hAnsi="Kristen ITC"/>
          <w:sz w:val="24"/>
          <w:szCs w:val="24"/>
        </w:rPr>
      </w:pPr>
      <w:r>
        <w:rPr>
          <w:rFonts w:ascii="Kristen ITC" w:hAnsi="Kristen ITC"/>
          <w:sz w:val="24"/>
          <w:szCs w:val="24"/>
        </w:rPr>
        <w:t xml:space="preserve">Spesso i Comuni sono messi sul banco degli imputati come responsabili di ritardi e di complessità burocratica. In realtà i Comuni sono le principali vittime della complicazione burocratica provocata dalla congerie di disposizioni, istruzioni, questionari, rendicontazioni spesso contraddittori, ripetitivi e ridondanti che derivano dalla produzione legislativa.  Circa 70 norme che riguardano la finanza </w:t>
      </w:r>
      <w:r>
        <w:rPr>
          <w:rFonts w:ascii="Kristen ITC" w:hAnsi="Kristen ITC"/>
          <w:sz w:val="24"/>
          <w:szCs w:val="24"/>
        </w:rPr>
        <w:lastRenderedPageBreak/>
        <w:t xml:space="preserve">locale, cui si </w:t>
      </w:r>
      <w:proofErr w:type="gramStart"/>
      <w:r>
        <w:rPr>
          <w:rFonts w:ascii="Kristen ITC" w:hAnsi="Kristen ITC"/>
          <w:sz w:val="24"/>
          <w:szCs w:val="24"/>
        </w:rPr>
        <w:t>aggiungono  le</w:t>
      </w:r>
      <w:proofErr w:type="gramEnd"/>
      <w:r>
        <w:rPr>
          <w:rFonts w:ascii="Kristen ITC" w:hAnsi="Kristen ITC"/>
          <w:sz w:val="24"/>
          <w:szCs w:val="24"/>
        </w:rPr>
        <w:t xml:space="preserve"> norme che si sono stratificate in tema di appalti, le sempre più frequenti espressioni della magistratura contabile e civile, anche queste spesso in contraddizione fra di loro, e i sempre più numerosi adempimenti di monitoraggi e comunicazione di dati che rendono impossibile lo svolgimento ordinato delle attività proprie dell’Ente. Si cita il caso della questione dei diritti di segreteria nei Comuni privi di dirigenza e la recente protesta dell’associazione dei ragionieri comunali. Sempre più spesso si sente dire, per reazione o per sopravvivenza, che l’unico modo per non incorrere in responsabilità è quello di rimanere fermi e scansare ogni possibile esposizione.  Una condotta che ferisce l’agire complessivo degli Enti e trasforma l’attività in burocrazia o esonero secondo il noto e diffuso motto: non è </w:t>
      </w:r>
      <w:proofErr w:type="gramStart"/>
      <w:r>
        <w:rPr>
          <w:rFonts w:ascii="Kristen ITC" w:hAnsi="Kristen ITC"/>
          <w:sz w:val="24"/>
          <w:szCs w:val="24"/>
        </w:rPr>
        <w:t>di  mia</w:t>
      </w:r>
      <w:proofErr w:type="gramEnd"/>
      <w:r>
        <w:rPr>
          <w:rFonts w:ascii="Kristen ITC" w:hAnsi="Kristen ITC"/>
          <w:sz w:val="24"/>
          <w:szCs w:val="24"/>
        </w:rPr>
        <w:t xml:space="preserve"> competenza.</w:t>
      </w:r>
    </w:p>
    <w:p w:rsidR="00B934F9" w:rsidRDefault="00B934F9" w:rsidP="00B934F9">
      <w:pPr>
        <w:jc w:val="both"/>
        <w:rPr>
          <w:rFonts w:ascii="Kristen ITC" w:hAnsi="Kristen ITC"/>
          <w:sz w:val="24"/>
          <w:szCs w:val="24"/>
        </w:rPr>
      </w:pPr>
      <w:r>
        <w:rPr>
          <w:rFonts w:ascii="Kristen ITC" w:hAnsi="Kristen ITC"/>
          <w:sz w:val="24"/>
          <w:szCs w:val="24"/>
        </w:rPr>
        <w:t xml:space="preserve">A fronte di una situazione così complessa ed indubbiamente grave, si ritiene che le misure concrete da adottare possano così essere indicate, nella consapevolezza che proprio nella loro effettiva attuazione transiti il fondamento stesso della prevenzione di fenomeni di illegalità e di corruzione e il corretto e trasparente rapporto fra Comune e cittadini, in vista della qualità e della diffusione dei servizi. </w:t>
      </w:r>
    </w:p>
    <w:p w:rsidR="00B934F9" w:rsidRDefault="00B934F9" w:rsidP="00B934F9">
      <w:pPr>
        <w:jc w:val="both"/>
        <w:rPr>
          <w:rFonts w:ascii="Kristen ITC" w:hAnsi="Kristen ITC"/>
          <w:sz w:val="24"/>
          <w:szCs w:val="24"/>
        </w:rPr>
      </w:pPr>
      <w:r>
        <w:rPr>
          <w:rFonts w:ascii="Kristen ITC" w:hAnsi="Kristen ITC"/>
          <w:sz w:val="24"/>
          <w:szCs w:val="24"/>
        </w:rPr>
        <w:t xml:space="preserve">C’è infatti il rischio concreto di una “deriva formalistica” con atteggiamenti di mero adempimento formale che rendono impossibile </w:t>
      </w:r>
      <w:proofErr w:type="gramStart"/>
      <w:r>
        <w:rPr>
          <w:rFonts w:ascii="Kristen ITC" w:hAnsi="Kristen ITC"/>
          <w:sz w:val="24"/>
          <w:szCs w:val="24"/>
        </w:rPr>
        <w:t>la  crescita</w:t>
      </w:r>
      <w:proofErr w:type="gramEnd"/>
      <w:r>
        <w:rPr>
          <w:rFonts w:ascii="Kristen ITC" w:hAnsi="Kristen ITC"/>
          <w:sz w:val="24"/>
          <w:szCs w:val="24"/>
        </w:rPr>
        <w:t xml:space="preserve"> della PA e la formazione di una classe dirigente all’altezza delle sfide che derivano  dalla politica e dalla programmazione e, soprattutto, dalle attese dei cittadini.  L’obiettivo è far sì che la prevenzione della corruzione non sia qualcosa che si scrive – spesso in forma isolata da parte del RPC Segretario Comunale o altro dirigente – ma qualcosa che si fa all’interno del Comune, </w:t>
      </w:r>
    </w:p>
    <w:p w:rsidR="00B934F9" w:rsidRDefault="00B934F9" w:rsidP="00B934F9">
      <w:pPr>
        <w:jc w:val="both"/>
        <w:rPr>
          <w:rFonts w:ascii="Kristen ITC" w:hAnsi="Kristen ITC"/>
          <w:sz w:val="24"/>
          <w:szCs w:val="24"/>
        </w:rPr>
      </w:pPr>
    </w:p>
    <w:p w:rsidR="00B934F9" w:rsidRDefault="00B934F9" w:rsidP="00B934F9">
      <w:pPr>
        <w:jc w:val="both"/>
        <w:rPr>
          <w:rFonts w:ascii="Kristen ITC" w:hAnsi="Kristen ITC"/>
          <w:sz w:val="24"/>
          <w:szCs w:val="24"/>
        </w:rPr>
      </w:pPr>
      <w:r>
        <w:rPr>
          <w:rFonts w:ascii="Kristen ITC" w:hAnsi="Kristen ITC"/>
          <w:sz w:val="24"/>
          <w:szCs w:val="24"/>
        </w:rPr>
        <w:t>Preciso quadro normativo di riferimento: La legge “Severino” n. 190 del 6 novembre 2012 “Disposizioni per la prevenzione e la repressione della corruzione e dell’illegalità nella pubblica amministrazione e i suoi decreti attuativi.</w:t>
      </w:r>
    </w:p>
    <w:p w:rsidR="00B934F9" w:rsidRDefault="00B934F9" w:rsidP="00B934F9">
      <w:pPr>
        <w:jc w:val="both"/>
        <w:rPr>
          <w:rFonts w:ascii="Kristen ITC" w:hAnsi="Kristen ITC"/>
          <w:sz w:val="24"/>
          <w:szCs w:val="24"/>
        </w:rPr>
      </w:pPr>
      <w:r>
        <w:rPr>
          <w:rFonts w:ascii="Kristen ITC" w:hAnsi="Kristen ITC"/>
          <w:sz w:val="24"/>
          <w:szCs w:val="24"/>
        </w:rPr>
        <w:t xml:space="preserve">La legge 15/2005 e il </w:t>
      </w:r>
      <w:proofErr w:type="spellStart"/>
      <w:r>
        <w:rPr>
          <w:rFonts w:ascii="Kristen ITC" w:hAnsi="Kristen ITC"/>
          <w:sz w:val="24"/>
          <w:szCs w:val="24"/>
        </w:rPr>
        <w:t>D.Lgv</w:t>
      </w:r>
      <w:proofErr w:type="spellEnd"/>
      <w:r>
        <w:rPr>
          <w:rFonts w:ascii="Kristen ITC" w:hAnsi="Kristen ITC"/>
          <w:sz w:val="24"/>
          <w:szCs w:val="24"/>
        </w:rPr>
        <w:t xml:space="preserve"> 150/2009 in materia di trasparenza</w:t>
      </w:r>
    </w:p>
    <w:p w:rsidR="00B934F9" w:rsidRDefault="00B934F9" w:rsidP="00B934F9">
      <w:pPr>
        <w:jc w:val="both"/>
        <w:rPr>
          <w:rFonts w:ascii="Kristen ITC" w:hAnsi="Kristen ITC"/>
          <w:sz w:val="24"/>
          <w:szCs w:val="24"/>
        </w:rPr>
      </w:pPr>
      <w:r>
        <w:rPr>
          <w:rFonts w:ascii="Kristen ITC" w:hAnsi="Kristen ITC"/>
          <w:sz w:val="24"/>
          <w:szCs w:val="24"/>
        </w:rPr>
        <w:t xml:space="preserve">Il </w:t>
      </w:r>
      <w:proofErr w:type="spellStart"/>
      <w:r>
        <w:rPr>
          <w:rFonts w:ascii="Kristen ITC" w:hAnsi="Kristen ITC"/>
          <w:sz w:val="24"/>
          <w:szCs w:val="24"/>
        </w:rPr>
        <w:t>D.Lgv</w:t>
      </w:r>
      <w:proofErr w:type="spellEnd"/>
      <w:r>
        <w:rPr>
          <w:rFonts w:ascii="Kristen ITC" w:hAnsi="Kristen ITC"/>
          <w:sz w:val="24"/>
          <w:szCs w:val="24"/>
        </w:rPr>
        <w:t xml:space="preserve"> 33/2013 in materia di trasparenza, pubblicazione dati e performance </w:t>
      </w:r>
    </w:p>
    <w:p w:rsidR="00B934F9" w:rsidRDefault="00B934F9" w:rsidP="00B934F9">
      <w:pPr>
        <w:jc w:val="both"/>
        <w:rPr>
          <w:rFonts w:ascii="Kristen ITC" w:hAnsi="Kristen ITC"/>
          <w:sz w:val="24"/>
          <w:szCs w:val="24"/>
        </w:rPr>
      </w:pPr>
      <w:r>
        <w:rPr>
          <w:rFonts w:ascii="Kristen ITC" w:hAnsi="Kristen ITC"/>
          <w:sz w:val="24"/>
          <w:szCs w:val="24"/>
        </w:rPr>
        <w:t xml:space="preserve">Il </w:t>
      </w:r>
      <w:proofErr w:type="spellStart"/>
      <w:r>
        <w:rPr>
          <w:rFonts w:ascii="Kristen ITC" w:hAnsi="Kristen ITC"/>
          <w:sz w:val="24"/>
          <w:szCs w:val="24"/>
        </w:rPr>
        <w:t>D.Lgv</w:t>
      </w:r>
      <w:proofErr w:type="spellEnd"/>
      <w:r>
        <w:rPr>
          <w:rFonts w:ascii="Kristen ITC" w:hAnsi="Kristen ITC"/>
          <w:sz w:val="24"/>
          <w:szCs w:val="24"/>
        </w:rPr>
        <w:t xml:space="preserve"> 39/2013 in materia di incompatibilità ed </w:t>
      </w:r>
      <w:proofErr w:type="spellStart"/>
      <w:r>
        <w:rPr>
          <w:rFonts w:ascii="Kristen ITC" w:hAnsi="Kristen ITC"/>
          <w:sz w:val="24"/>
          <w:szCs w:val="24"/>
        </w:rPr>
        <w:t>inconferibilità</w:t>
      </w:r>
      <w:proofErr w:type="spellEnd"/>
      <w:r>
        <w:rPr>
          <w:rFonts w:ascii="Kristen ITC" w:hAnsi="Kristen ITC"/>
          <w:sz w:val="24"/>
          <w:szCs w:val="24"/>
        </w:rPr>
        <w:t xml:space="preserve"> dei funzionari ed amministratori pubblici</w:t>
      </w:r>
    </w:p>
    <w:p w:rsidR="00B934F9" w:rsidRDefault="00B934F9" w:rsidP="00B934F9">
      <w:pPr>
        <w:jc w:val="both"/>
        <w:rPr>
          <w:rFonts w:ascii="Kristen ITC" w:hAnsi="Kristen ITC"/>
          <w:sz w:val="24"/>
          <w:szCs w:val="24"/>
        </w:rPr>
      </w:pPr>
      <w:r>
        <w:rPr>
          <w:rFonts w:ascii="Kristen ITC" w:hAnsi="Kristen ITC"/>
          <w:sz w:val="24"/>
          <w:szCs w:val="24"/>
        </w:rPr>
        <w:t>IL DPR 62/2013 sul Codice di comportamento dei dipendenti pubblici</w:t>
      </w:r>
    </w:p>
    <w:p w:rsidR="00B934F9" w:rsidRDefault="00B934F9" w:rsidP="00B934F9">
      <w:pPr>
        <w:jc w:val="both"/>
        <w:rPr>
          <w:rFonts w:ascii="Kristen ITC" w:hAnsi="Kristen ITC"/>
          <w:sz w:val="24"/>
          <w:szCs w:val="24"/>
        </w:rPr>
      </w:pPr>
      <w:r>
        <w:rPr>
          <w:rFonts w:ascii="Kristen ITC" w:hAnsi="Kristen ITC"/>
          <w:sz w:val="24"/>
          <w:szCs w:val="24"/>
        </w:rPr>
        <w:lastRenderedPageBreak/>
        <w:t xml:space="preserve">Il </w:t>
      </w:r>
      <w:proofErr w:type="spellStart"/>
      <w:r>
        <w:rPr>
          <w:rFonts w:ascii="Kristen ITC" w:hAnsi="Kristen ITC"/>
          <w:sz w:val="24"/>
          <w:szCs w:val="24"/>
        </w:rPr>
        <w:t>D.Lgv</w:t>
      </w:r>
      <w:proofErr w:type="spellEnd"/>
      <w:r>
        <w:rPr>
          <w:rFonts w:ascii="Kristen ITC" w:hAnsi="Kristen ITC"/>
          <w:sz w:val="24"/>
          <w:szCs w:val="24"/>
        </w:rPr>
        <w:t xml:space="preserve"> 97/2016 in materia di accesso civico ed accesso generalizzato, trasparenza e pubblicazione dati</w:t>
      </w:r>
    </w:p>
    <w:p w:rsidR="00B934F9" w:rsidRDefault="00B934F9" w:rsidP="00B934F9">
      <w:pPr>
        <w:jc w:val="both"/>
        <w:rPr>
          <w:rFonts w:ascii="Kristen ITC" w:hAnsi="Kristen ITC"/>
          <w:sz w:val="24"/>
          <w:szCs w:val="24"/>
        </w:rPr>
      </w:pPr>
      <w:r>
        <w:rPr>
          <w:rFonts w:ascii="Kristen ITC" w:hAnsi="Kristen ITC"/>
          <w:sz w:val="24"/>
          <w:szCs w:val="24"/>
        </w:rPr>
        <w:t xml:space="preserve">Il </w:t>
      </w:r>
      <w:proofErr w:type="spellStart"/>
      <w:r>
        <w:rPr>
          <w:rFonts w:ascii="Kristen ITC" w:hAnsi="Kristen ITC"/>
          <w:sz w:val="24"/>
          <w:szCs w:val="24"/>
        </w:rPr>
        <w:t>D.Lgv</w:t>
      </w:r>
      <w:proofErr w:type="spellEnd"/>
      <w:r>
        <w:rPr>
          <w:rFonts w:ascii="Kristen ITC" w:hAnsi="Kristen ITC"/>
          <w:sz w:val="24"/>
          <w:szCs w:val="24"/>
        </w:rPr>
        <w:t xml:space="preserve"> 175/2016 in materia di TU Società Partecipate</w:t>
      </w:r>
    </w:p>
    <w:p w:rsidR="00B934F9" w:rsidRDefault="00B934F9" w:rsidP="00B934F9">
      <w:pPr>
        <w:jc w:val="both"/>
        <w:rPr>
          <w:rFonts w:ascii="Kristen ITC" w:hAnsi="Kristen ITC"/>
          <w:sz w:val="24"/>
          <w:szCs w:val="24"/>
        </w:rPr>
      </w:pPr>
      <w:r>
        <w:rPr>
          <w:rFonts w:ascii="Kristen ITC" w:hAnsi="Kristen ITC"/>
          <w:sz w:val="24"/>
          <w:szCs w:val="24"/>
        </w:rPr>
        <w:t xml:space="preserve">La Legge 241/1990 in materia </w:t>
      </w:r>
      <w:proofErr w:type="gramStart"/>
      <w:r>
        <w:rPr>
          <w:rFonts w:ascii="Kristen ITC" w:hAnsi="Kristen ITC"/>
          <w:sz w:val="24"/>
          <w:szCs w:val="24"/>
        </w:rPr>
        <w:t>di :</w:t>
      </w:r>
      <w:proofErr w:type="gramEnd"/>
      <w:r>
        <w:rPr>
          <w:rFonts w:ascii="Kristen ITC" w:hAnsi="Kristen ITC"/>
          <w:sz w:val="24"/>
          <w:szCs w:val="24"/>
        </w:rPr>
        <w:t xml:space="preserve"> obbligo di motivazione dei provvedimenti amministrativi, accesso agli atti, comunicazione dell’avvio e del responsabile del procedimento, partecipazione degli interessati</w:t>
      </w:r>
    </w:p>
    <w:p w:rsidR="00B934F9" w:rsidRDefault="00B934F9" w:rsidP="00B934F9">
      <w:pPr>
        <w:jc w:val="both"/>
        <w:rPr>
          <w:rFonts w:ascii="Kristen ITC" w:hAnsi="Kristen ITC"/>
          <w:sz w:val="24"/>
          <w:szCs w:val="24"/>
        </w:rPr>
      </w:pPr>
      <w:r>
        <w:rPr>
          <w:rFonts w:ascii="Kristen ITC" w:hAnsi="Kristen ITC"/>
          <w:sz w:val="24"/>
          <w:szCs w:val="24"/>
        </w:rPr>
        <w:t xml:space="preserve">L’art. 97 </w:t>
      </w:r>
      <w:proofErr w:type="spellStart"/>
      <w:r>
        <w:rPr>
          <w:rFonts w:ascii="Kristen ITC" w:hAnsi="Kristen ITC"/>
          <w:sz w:val="24"/>
          <w:szCs w:val="24"/>
        </w:rPr>
        <w:t>Cost</w:t>
      </w:r>
      <w:proofErr w:type="spellEnd"/>
      <w:r>
        <w:rPr>
          <w:rFonts w:ascii="Kristen ITC" w:hAnsi="Kristen ITC"/>
          <w:sz w:val="24"/>
          <w:szCs w:val="24"/>
        </w:rPr>
        <w:t xml:space="preserve">. </w:t>
      </w:r>
      <w:proofErr w:type="gramStart"/>
      <w:r>
        <w:rPr>
          <w:rFonts w:ascii="Kristen ITC" w:hAnsi="Kristen ITC"/>
          <w:sz w:val="24"/>
          <w:szCs w:val="24"/>
        </w:rPr>
        <w:t>che</w:t>
      </w:r>
      <w:proofErr w:type="gramEnd"/>
      <w:r>
        <w:rPr>
          <w:rFonts w:ascii="Kristen ITC" w:hAnsi="Kristen ITC"/>
          <w:sz w:val="24"/>
          <w:szCs w:val="24"/>
        </w:rPr>
        <w:t xml:space="preserve"> afferma i principi di legalità, buon andamento ed imparzialità. </w:t>
      </w:r>
    </w:p>
    <w:p w:rsidR="00B934F9" w:rsidRDefault="00B934F9" w:rsidP="00B934F9">
      <w:pPr>
        <w:jc w:val="both"/>
        <w:rPr>
          <w:rFonts w:ascii="Kristen ITC" w:hAnsi="Kristen ITC"/>
          <w:sz w:val="24"/>
          <w:szCs w:val="24"/>
        </w:rPr>
      </w:pPr>
      <w:r>
        <w:rPr>
          <w:rFonts w:ascii="Kristen ITC" w:hAnsi="Kristen ITC"/>
          <w:sz w:val="24"/>
          <w:szCs w:val="24"/>
        </w:rPr>
        <w:t xml:space="preserve">Provvedimenti ANAC: La Delibera n. 831 del 3 agosto 2016 “Piano Nazionale Anticorruzione” e il Piano Comunale di prevenzione della corruzione, La Delibera n. 1309 del 28 dicembre 2016 in materia di diritto di accesso civico e generalizzato e la Delibera n. 1310 del 28 dicembre 2016 in materia di obbligo di pubblicazione dati </w:t>
      </w:r>
    </w:p>
    <w:p w:rsidR="00D43D2E" w:rsidRDefault="00D43D2E" w:rsidP="00B934F9">
      <w:pPr>
        <w:jc w:val="both"/>
        <w:rPr>
          <w:rFonts w:ascii="Kristen ITC" w:hAnsi="Kristen ITC"/>
          <w:sz w:val="24"/>
          <w:szCs w:val="24"/>
        </w:rPr>
      </w:pPr>
    </w:p>
    <w:p w:rsidR="00D43D2E" w:rsidRDefault="00D43D2E" w:rsidP="00B934F9">
      <w:pPr>
        <w:jc w:val="both"/>
        <w:rPr>
          <w:rFonts w:ascii="Kristen ITC" w:hAnsi="Kristen ITC"/>
          <w:sz w:val="24"/>
          <w:szCs w:val="24"/>
        </w:rPr>
      </w:pPr>
      <w:r w:rsidRPr="0027017F">
        <w:rPr>
          <w:rFonts w:ascii="Kristen ITC" w:hAnsi="Kristen ITC"/>
          <w:sz w:val="24"/>
          <w:szCs w:val="24"/>
          <w:u w:val="single"/>
        </w:rPr>
        <w:t>Tratto dal PNA per i Comuni fino a 15.000 abitanti</w:t>
      </w:r>
      <w:r>
        <w:rPr>
          <w:rFonts w:ascii="Kristen ITC" w:hAnsi="Kristen ITC"/>
          <w:sz w:val="24"/>
          <w:szCs w:val="24"/>
        </w:rPr>
        <w:t>:</w:t>
      </w:r>
    </w:p>
    <w:p w:rsidR="00EC6EF6" w:rsidRDefault="00EC6EF6" w:rsidP="00B934F9">
      <w:pPr>
        <w:jc w:val="both"/>
        <w:rPr>
          <w:rFonts w:ascii="Kristen ITC" w:hAnsi="Kristen ITC"/>
          <w:sz w:val="24"/>
          <w:szCs w:val="24"/>
        </w:rPr>
      </w:pPr>
      <w:r w:rsidRPr="00EC6EF6">
        <w:rPr>
          <w:rFonts w:ascii="Kristen ITC" w:hAnsi="Kristen ITC"/>
          <w:sz w:val="24"/>
          <w:szCs w:val="24"/>
          <w:u w:val="single"/>
        </w:rPr>
        <w:t xml:space="preserve">PARTE </w:t>
      </w:r>
      <w:proofErr w:type="gramStart"/>
      <w:r w:rsidRPr="00EC6EF6">
        <w:rPr>
          <w:rFonts w:ascii="Kristen ITC" w:hAnsi="Kristen ITC"/>
          <w:sz w:val="24"/>
          <w:szCs w:val="24"/>
          <w:u w:val="single"/>
        </w:rPr>
        <w:t xml:space="preserve">GENERALE </w:t>
      </w:r>
      <w:r>
        <w:rPr>
          <w:rFonts w:ascii="Kristen ITC" w:hAnsi="Kristen ITC"/>
          <w:sz w:val="24"/>
          <w:szCs w:val="24"/>
        </w:rPr>
        <w:t>:</w:t>
      </w:r>
      <w:proofErr w:type="gramEnd"/>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PARTE GENERALE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Premessa: il nuovo PNA e le recenti modifiche legislative Il presente Piano Nazionale Anticorruzione 2016 (di seguito PNA) è il primo predisposto e adottato dall’Autorità Nazionale Anticorruzione (di seguito ANAC), ai sensi dell’art. 19 del decreto legge 24 giugno 2014, n. 90, che ha trasferito interamente all’Autorità le competenze in materia di prevenzione della corruzione e della promozione della trasparenza nelle pubbliche amministrazioni. Il PNA è in linea con le rilevanti modifiche legislative intervenute recentemente, in molti casi dando attuazione alle nuove discipline della materia, di cui le amministrazioni dovranno tener conto nella fase di attuazione del PNA nei loro Piani triennali di prevenzione della corruzione (di seguito PTPC), in particolare a partire dalla formazione dei PTPC per il triennio 2017-2019. Si fa riferimento, in particolare, al decreto legislativo 25 maggio 2016, n. 97, «Recante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 (di seguito d.lgs. 97/2016) e al decreto legislativo 18 aprile 2016, n. 50 sul Codice dei </w:t>
      </w:r>
      <w:r w:rsidRPr="00EC6EF6">
        <w:rPr>
          <w:rFonts w:ascii="Kristen ITC" w:hAnsi="Kristen ITC"/>
          <w:sz w:val="24"/>
          <w:szCs w:val="24"/>
        </w:rPr>
        <w:lastRenderedPageBreak/>
        <w:t xml:space="preserve">contratti pubblici. Innovazioni rilevanti deriveranno anche dai decreti delegati in materia di società partecipate dalle pubbliche amministrazioni, dai decreti sulla dirigenza pubblica e dal nuovo Testo Unico sul lavoro nelle pubbliche amministrazioni. Le principali novità del d.lgs. 97/2016 in materia di trasparenza riguardano il definitivo chiarimento sulla natura, sui contenuti e sul procedimento di approvazione del PNA e, in materia di trasparenza, la definitiva delimitazione dell’ambito soggettivo di applicazione della disciplina, la revisione degli obblighi di pubblicazione nei siti delle pubbliche amministrazioni unitamente al nuovo diritto di accesso civico generalizzato ad atti, documenti e informazioni non oggetto di pubblicazione obbligatoria. La nuova disciplina chiarisce che il PNA è atto generale di indirizzo rivolto a tutte le amministrazioni (e ai soggetti di diritto privato in controllo pubblico, nei limiti posti dalla legge) che adottano i PTPC (ovvero le misure di integrazione di quelle adottate ai sensi del decreto legislativo 8 giugno 2001, n. 231). Il PNA, in quanto atto di indirizzo, contiene indicazioni che impegnano le amministrazioni allo svolgimento di attività di analisi della realtà amministrativa e organizzativa nella quale si svolgono le attività di esercizio di funzioni pubbliche e di attività di pubblico interesse esposte a rischi di corruzione e all’adozione di concrete misure di prevenzione della corruzione. Si tratta di un modello che contempera l’esigenza di uniformità nel perseguimento di effettive misure di prevenzione della corruzione con l’autonomia organizzativa, spesso costituzionalmente garantita, delle amministrazioni nel definire esse stesse i caratteri della propria organizzazione e, all’interno di essa, le misure organizzative necessarie a prevenire i rischi di corruzione rilevati. L’ANAC, ai fini dell’attuazione del PNA, è dotata (art. 1, commi 2 e 3, della legge 6 novembre 2012, n. 190) di poteri di vigilanza sulla qualità di Piani adottati dalle pubbliche amministrazioni, che possono comportare l’emissione di raccomandazioni (ovvero nei casi più gravi l’esercizio del potere di ordine) alle amministrazioni perché svolgano le attività previste dal Piano medesimo (dalle attività conoscitive alla individuazione di concrete misure di prevenzione). L’ANAC ha, infine, (art. 19, co. 5, </w:t>
      </w:r>
      <w:proofErr w:type="spellStart"/>
      <w:r w:rsidRPr="00EC6EF6">
        <w:rPr>
          <w:rFonts w:ascii="Kristen ITC" w:hAnsi="Kristen ITC"/>
          <w:sz w:val="24"/>
          <w:szCs w:val="24"/>
        </w:rPr>
        <w:t>d.l.</w:t>
      </w:r>
      <w:proofErr w:type="spellEnd"/>
      <w:r w:rsidRPr="00EC6EF6">
        <w:rPr>
          <w:rFonts w:ascii="Kristen ITC" w:hAnsi="Kristen ITC"/>
          <w:sz w:val="24"/>
          <w:szCs w:val="24"/>
        </w:rPr>
        <w:t xml:space="preserve"> 90/2014) poteri di sanzione nei casi di mancata adozione dei PTPC (o di carenza talmente grave da equivalere alla non adozione). La nuova disciplina tende a rafforzare il ruolo dei Responsabili della prevenzione della corruzione (RPC) quali soggetti titolari del potere di predisposizione e di proposta del PTPC all’organo di indirizzo. È, inoltre, previsto un maggiore coinvolgimento degli organi di indirizzo nella formazione e attuazione dei Piani così come di quello degli organismi indipendenti di valutazione (OIV). Questi ultimi, in particolare, sono chiamati a rafforzare il raccordo tra misure anticorruzione e misure di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2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proofErr w:type="gramStart"/>
      <w:r w:rsidRPr="00EC6EF6">
        <w:rPr>
          <w:rFonts w:ascii="Kristen ITC" w:hAnsi="Kristen ITC"/>
          <w:sz w:val="24"/>
          <w:szCs w:val="24"/>
        </w:rPr>
        <w:t>miglioramento</w:t>
      </w:r>
      <w:proofErr w:type="gramEnd"/>
      <w:r w:rsidRPr="00EC6EF6">
        <w:rPr>
          <w:rFonts w:ascii="Kristen ITC" w:hAnsi="Kristen ITC"/>
          <w:sz w:val="24"/>
          <w:szCs w:val="24"/>
        </w:rPr>
        <w:t xml:space="preserve"> della funzionalità delle amministrazioni e della performance degli uffici e dei funzionari pubblici. La nuova disciplina persegue, inoltre, l’obiettivo di semplificare le attività delle amministrazioni nella materia, ad esempio unificando in un solo strumento il PTPC e il Programma triennale della trasparenza e dell’integrità (PTTI) e prevedendo una possibile articolazione delle attività in rapporto alle caratteristiche organizzative (soprattutto dimensionali) delle amministrazioni. In piena aderenza agli obiettivi fissati dalla l. 190/2012 il PNA ha il compito di promuovere, presso le amministrazioni pubbliche (e presso i soggetti di diritto privato in controllo pubblico), l’adozione di misure di prevenzione della corruzione. Misure di prevenzione oggettiva che mirano, attraverso soluzioni organizzative, a ridurre ogni spazio possibile all’azione di interessi particolari volti all’improprio condizionamento delle decisioni pubbliche. Misure di prevenzione soggettiva che mirano a garantire la posizione di imparzialità del funzionario pubblico che partecipa, nei diversi modi previsti dall’ordinamento (adozione di atti di indirizzo, adozione di atti di gestione, compimento di attività istruttorie a favore degli uni e degli altri), ad una decisione amministrativa. L’individuazione di tali misure spetta alle singole amministrazioni, perché solo esse sono in grado di conoscere la propria condizione organizzativa, la situazione dei propri funzionari, il contesto esterno nel quale si trovano ad operare. Il PNA, dunque, deve guidare le amministrazioni nel percorso che conduce necessariamente all’adozione di concrete ed effettive misure di prevenzione della corruzione, senza imporre soluzioni uniformi, che finirebbero per calarsi in modo innaturale nelle diverse realtà organizzative compromettendone l’efficacia preventiva dei fenomeni di corruzione. L’ANAC già con l’Aggiornamento 2015 al PNA (determinazione n. 12 del 28 ottobre 2015) ha dimostrato consapevolezza delle difficoltà delle amministrazioni a compiere per intero questo percorso, come rilevato nell’analisi dei PTPC approvati negli anni 2014 e 2015. L’analisi di un ristretto campione di PTPC adottati nel 2016 (di cui al successivo § 2) mette in luce che, nonostante alcuni significativi progressi, le difficoltà delle amministrazioni permangono e che le stesse non sembrano legate alla specifica complessità delle attività di prevenzione della corruzione da compiere, ma ad una più generale difficoltà nella autoanalisi organizzativa, nella conoscenza sistematica dei processi svolti e dei procedimenti amministrativi di propria competenza, nella programmazione unitaria di tutti questi </w:t>
      </w:r>
      <w:r w:rsidRPr="00EC6EF6">
        <w:rPr>
          <w:rFonts w:ascii="Kristen ITC" w:hAnsi="Kristen ITC"/>
          <w:sz w:val="24"/>
          <w:szCs w:val="24"/>
        </w:rPr>
        <w:lastRenderedPageBreak/>
        <w:t xml:space="preserve">processi di riorganizzazione. Tali criticità potranno essere progressivamente superate anche all’esito dei processi di riforma amministrativa introdotti dalla legge 7 agosto 2015, n. 124 e dai relativi decreti delegati. Nel campo specifico della lotta alla corruzione l’Autorità continua decisamente nell’opera di prevenzione, sottolineando la centralità del risultato (le misure di prevenzione) anche rispetto ai passaggi e al metodo generale per raggiungerlo. Di qui la scelta nella direzione dell’approfondimento di specifiche realtà amministrative, per tipologie di amministrazioni o per settori specifici di attività. Con il presente PNA 2016 la scelta viene confermata e rafforzata. A una parte generale volta ad affrontare problematiche relative all’intero comparto delle pubbliche amministrazioni (e dei soggetti di diritto privato in loro controllo) segue una parte dedicata ad una più ampia serie di approfondimenti specifici. In tal modo l’Autorità continua a offrire un supporto progressivo, che verrà dunque implementato e integrato nel corso dei prossimi anni, cominciando da alcune delle amministrazioni che in questi primi anni hanno mostrato maggiori problematiche nell’applicazione della legge e in alcuni settori particolarmente esposti a fenomeni di corruzione. Le tipologie di amministrazioni sono i piccoli comuni, le città metropolitane e gli ordini professionali. Sono state, inoltre, svolte alcune precisazioni in ordine all’applicazione della normativa anticorruzione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3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proofErr w:type="gramStart"/>
      <w:r w:rsidRPr="00EC6EF6">
        <w:rPr>
          <w:rFonts w:ascii="Kristen ITC" w:hAnsi="Kristen ITC"/>
          <w:sz w:val="24"/>
          <w:szCs w:val="24"/>
        </w:rPr>
        <w:t>nella</w:t>
      </w:r>
      <w:proofErr w:type="gramEnd"/>
      <w:r w:rsidRPr="00EC6EF6">
        <w:rPr>
          <w:rFonts w:ascii="Kristen ITC" w:hAnsi="Kristen ITC"/>
          <w:sz w:val="24"/>
          <w:szCs w:val="24"/>
        </w:rPr>
        <w:t xml:space="preserve"> Istituzioni scolastiche e negli Istituti di Alta Formazione Artistica Musicale e Coreutica (AFAM) ad integrazione e aggiornamento della delibera n. 43/2016 «Linee guida sull’applicazione alle istituzioni scolastiche delle disposizioni di cui alla legge 6 novembre 2012, n. 190 e al decreto legislativo 14 marzo 2013, n. 33».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Le materie riguardano la tutela e la valorizzazione dei beni culturali, il governo del territorio e la sanità.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Un approfondimento specifico è dedicato alla misura della rotazione ed alcune indicazioni integrative concernono la tutela del dipendente pubblico che segnala illeciti, determinazione n. 6/ 2015 «Linee guida in materia di tutela del dipendente pubblico che segnala illeciti (c.d. </w:t>
      </w:r>
      <w:proofErr w:type="spellStart"/>
      <w:r w:rsidRPr="00EC6EF6">
        <w:rPr>
          <w:rFonts w:ascii="Kristen ITC" w:hAnsi="Kristen ITC"/>
          <w:sz w:val="24"/>
          <w:szCs w:val="24"/>
        </w:rPr>
        <w:t>whistleblower</w:t>
      </w:r>
      <w:proofErr w:type="spellEnd"/>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lastRenderedPageBreak/>
        <w:t xml:space="preserve">Procedimento di predisposizione del </w:t>
      </w:r>
      <w:proofErr w:type="gramStart"/>
      <w:r w:rsidRPr="00EC6EF6">
        <w:rPr>
          <w:rFonts w:ascii="Kristen ITC" w:hAnsi="Kristen ITC"/>
          <w:sz w:val="24"/>
          <w:szCs w:val="24"/>
        </w:rPr>
        <w:t>PNA  Per</w:t>
      </w:r>
      <w:proofErr w:type="gramEnd"/>
      <w:r w:rsidRPr="00EC6EF6">
        <w:rPr>
          <w:rFonts w:ascii="Kristen ITC" w:hAnsi="Kristen ITC"/>
          <w:sz w:val="24"/>
          <w:szCs w:val="24"/>
        </w:rPr>
        <w:t xml:space="preserve"> tutti questi ambiti di attenzione sono stati costituiti appositi tavoli tecnici di approfondimento con l’attiva partecipazione delle amministrazioni direttamente interessate e dei principali operatori del settore. In particolare, gli approfondimenti sui piccoli comuni e le città metropolitane hanno formato oggetto di un tavolo di lavoro con ANCI, UPI, Conferenza delle Regioni e delle Province autonome, Conferenza dei Presidenti delle Assemblee legislative delle Regioni e delle Province autonome e Ministero dell’Interno.  Al tavolo sugli ordini professionali hanno partecipato: la rete delle professioni tecniche in rappresentanza di architetti pianificatori paesaggisti e conservatori, chimici, dottori agronomi e dottori forestali, geologi, geometri e geometri laureati, ingegneri, periti agrari e periti agrari laureati, periti industriali e periti industriali laureati, tecnologi alimentari, il consiglio nazionale del notariato, il comitato unico delle professioni, il consiglio nazionale dei consulenti del lavoro, il consiglio nazionale dei dottori commercialisti e degli esperti contabili, consiglio nazionale degli architetti pianificatori paesaggisti e conservatori, consiglio nazionale degli ingegneri.  Sulla tutela e valorizzazione dei beni culturali, il referente è stato il Ministero dei beni e delle attività culturali e del turismo (di seguito MIBACT). Al tavolo del governo del territorio hanno partecipato ANCI, UPI, Conferenza delle Regioni e delle Province autonome, Conferenza dei Presidenti delle Assemblee legislative delle Regioni e delle Province autonome. Le indicazioni relative alla misura della rotazione sono state oggetto di un confronto con la Presidenza del Consiglio dei Ministri - Dipartimento della funzione pubblica (di seguito DFP) - in considerazione delle strette connessioni fra l’applicazione della misura e la normativa sull’organizzazione delle pubbliche amministrazioni e del pubblico impiego.  Le parti relative alla sanità sono state predisposte grazie all’ausilio di tavoli di lavoro costituiti insieme all’Agenzia Nazionale per i Servizi Sanitari Regionali (di seguito AGENAS) e al Ministero della salute. Il lavoro svolto ha condotto alla individuazione, sempre con finalità di indirizzo più che di imposizione di obblighi, di misure di prevenzione non più generali, ma specifiche, calibrate ai processi rilevati ed emerse dalle esperienze concrete delle amministrazioni.  Nella definizione dei contenuti si è tenuto conto anche delle importanti indicazioni e degli orientamenti che provengono dal contesto internazionale (cfr. § 1) nonché degli esiti della valutazione di un campione di PTPC di amministrazioni centrali e locali (cfr. § 2). Ne risulta un quadro di misure sempre più articolato e differenziato, con effetti diversi nei settori esaminati e nella generalità delle pubbliche amministrazioni.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lastRenderedPageBreak/>
        <w:t xml:space="preserve"> 4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Le misure, sia pure suggerite e non imposte, nascono dall’analisi dei rischi di corruzione che, nelle amministrazioni considerate, risultano ricorrenti. Nel rispetto del principio di non aggravamento del procedimento, le amministrazioni interessate potranno anche adottare diverse misure preventive, sempre che dimostrino la loro maggiore congruità in relazione al proprio contesto organizzativo e a quanto indicato nel PNA. Nella generalità delle amministrazioni, le misure di settore hanno un valore ancora più accentuatamente indicativo e costituiscono pur sempre delle valide indicazioni di misure da adattare a casi simili. Per fare solo un esempio: se nel settore del governo del territorio si suggerisce l’introduzione di controlli successivi a campione sui titoli abilitativi rilasciati o sull’attività di vigilanza edilizia svolta dagli uffici, analoghe misure potranno essere introdotte per il controllo di analoghe attività dell’amministrazione in settori diversi. Nei prossimi anni, con gli Aggiornamenti al presente PNA, si proseguirà con il metodo degli approfondimenti di settore, in qualche caso dando continuità ai tavoli già insediati (sanità, beni culturali, piccoli comuni), in altri affrontando settori e tematiche nuove (l’ambiente, la scuola, gli enti di diritto privato in controllo pubblico). In questo senso, l’Autorità propone il PNA come strumento di indirizzo e sostegno alle amministrazioni orientato a favorire l’attuazione sostanziale, secondo un principio improntato allo scopo, non meramente formale e </w:t>
      </w:r>
      <w:proofErr w:type="spellStart"/>
      <w:r w:rsidRPr="00EC6EF6">
        <w:rPr>
          <w:rFonts w:ascii="Kristen ITC" w:hAnsi="Kristen ITC"/>
          <w:sz w:val="24"/>
          <w:szCs w:val="24"/>
        </w:rPr>
        <w:t>adempitivo</w:t>
      </w:r>
      <w:proofErr w:type="spellEnd"/>
      <w:r w:rsidRPr="00EC6EF6">
        <w:rPr>
          <w:rFonts w:ascii="Kristen ITC" w:hAnsi="Kristen ITC"/>
          <w:sz w:val="24"/>
          <w:szCs w:val="24"/>
        </w:rPr>
        <w:t xml:space="preserve">, della normativa.  Procedimento di approvazione del PNA I lavori di predisposizione del PNA sono stati avviati in un fase in cui la l. 190/2012, art. 1, co. 4, prevedeva che il PNA fosse approvato «anche secondo linee di indirizzo adottate dal Comitato interministeriale istituito e disciplinato con decreto del Presidente del Consiglio dei Ministri». Ai sensi del novellato art. 1 della l. 190/2012, da parte dell’art. 41, co. 1, </w:t>
      </w:r>
      <w:proofErr w:type="spellStart"/>
      <w:r w:rsidRPr="00EC6EF6">
        <w:rPr>
          <w:rFonts w:ascii="Kristen ITC" w:hAnsi="Kristen ITC"/>
          <w:sz w:val="24"/>
          <w:szCs w:val="24"/>
        </w:rPr>
        <w:t>lett</w:t>
      </w:r>
      <w:proofErr w:type="spellEnd"/>
      <w:r w:rsidRPr="00EC6EF6">
        <w:rPr>
          <w:rFonts w:ascii="Kristen ITC" w:hAnsi="Kristen ITC"/>
          <w:sz w:val="24"/>
          <w:szCs w:val="24"/>
        </w:rPr>
        <w:t xml:space="preserve">. b) del d.lgs. 97/2016, il PNA è, invece, adottato dall’ANAC, sentiti il Comitato interministeriale istituito con </w:t>
      </w:r>
      <w:proofErr w:type="spellStart"/>
      <w:r w:rsidRPr="00EC6EF6">
        <w:rPr>
          <w:rFonts w:ascii="Kristen ITC" w:hAnsi="Kristen ITC"/>
          <w:sz w:val="24"/>
          <w:szCs w:val="24"/>
        </w:rPr>
        <w:t>d.p.c.m</w:t>
      </w:r>
      <w:proofErr w:type="spellEnd"/>
      <w:r w:rsidRPr="00EC6EF6">
        <w:rPr>
          <w:rFonts w:ascii="Kristen ITC" w:hAnsi="Kristen ITC"/>
          <w:sz w:val="24"/>
          <w:szCs w:val="24"/>
        </w:rPr>
        <w:t xml:space="preserve">. del 16 gennaio 2013 e la Conferenza unificata di cui all’art. 8, co. 1, del decreto legislativo. 28 agosto 1997, n. 281. Nella fase interlocutoria che ha caratterizzato la predisposizione del presente PNA, l’Autorità ha, da un lato, formalmente chiesto alla Presidenza del Consiglio se volesse adottare nuove linee di indirizzo. Dall’altro, ha predisposto il PNA tenendo conto che, in base alla normativa vigente, l’adozione di nuove linee di indirizzo non è obbligatoria e non impedisce la sua approvazione. Il presente PNA, pertanto, è stato adottato in via preliminare dal Consiglio dell’Autorità nella seduta del 18 maggio 2016, ed è stato sottoposto a consultazione pubblica aperta, al fine di </w:t>
      </w:r>
      <w:r w:rsidRPr="00EC6EF6">
        <w:rPr>
          <w:rFonts w:ascii="Kristen ITC" w:hAnsi="Kristen ITC"/>
          <w:sz w:val="24"/>
          <w:szCs w:val="24"/>
        </w:rPr>
        <w:lastRenderedPageBreak/>
        <w:t xml:space="preserve">ricevere osservazioni e proposte di integrazione. Sono pervenuti complessivamente 48 contributi da parte di regioni, enti locali, enti del servizio sanitario nazionale, enti pubblici, società, ordini professionali, associazioni, dipendenti pubblici, soggetti privati.  Sono, inoltre, stati coinvolti 52 soggetti istituzionali nazionali e internazionali1 attraverso scambi di note. In particolare hanno fornito suggerimenti o riscontri: l’Avvocatura generale dello Stato, il Dipartimento della funzione pubblica, il Ministro per le riforme costituzionali e rapporti con il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1 ANCI, </w:t>
      </w:r>
      <w:proofErr w:type="spellStart"/>
      <w:r w:rsidRPr="00EC6EF6">
        <w:rPr>
          <w:rFonts w:ascii="Kristen ITC" w:hAnsi="Kristen ITC"/>
          <w:sz w:val="24"/>
          <w:szCs w:val="24"/>
        </w:rPr>
        <w:t>Assonime</w:t>
      </w:r>
      <w:proofErr w:type="spellEnd"/>
      <w:r w:rsidRPr="00EC6EF6">
        <w:rPr>
          <w:rFonts w:ascii="Kristen ITC" w:hAnsi="Kristen ITC"/>
          <w:sz w:val="24"/>
          <w:szCs w:val="24"/>
        </w:rPr>
        <w:t xml:space="preserve">, Autorità per la protezione dei dati personali, Autorità per le garanzie nelle comunicazioni, Avvocatura Generale dello Stato, Banca d'Italia, CGIL, CISAL, CISL, CNA, CNCU, CONFAPI, Confartigianato, Confcommercio, Conferenza dei Presidenti delle Assemblee Legislative delle Regioni e delle Province Autonome, Conferenza delle Regioni e delle Province Autonome, Confesercenti, </w:t>
      </w:r>
      <w:proofErr w:type="spellStart"/>
      <w:r w:rsidRPr="00EC6EF6">
        <w:rPr>
          <w:rFonts w:ascii="Kristen ITC" w:hAnsi="Kristen ITC"/>
          <w:sz w:val="24"/>
          <w:szCs w:val="24"/>
        </w:rPr>
        <w:t>Confimpresa</w:t>
      </w:r>
      <w:proofErr w:type="spellEnd"/>
      <w:r w:rsidRPr="00EC6EF6">
        <w:rPr>
          <w:rFonts w:ascii="Kristen ITC" w:hAnsi="Kristen ITC"/>
          <w:sz w:val="24"/>
          <w:szCs w:val="24"/>
        </w:rPr>
        <w:t xml:space="preserve">, Confindustria, </w:t>
      </w:r>
      <w:proofErr w:type="spellStart"/>
      <w:r w:rsidRPr="00EC6EF6">
        <w:rPr>
          <w:rFonts w:ascii="Kristen ITC" w:hAnsi="Kristen ITC"/>
          <w:sz w:val="24"/>
          <w:szCs w:val="24"/>
        </w:rPr>
        <w:t>Confsal</w:t>
      </w:r>
      <w:proofErr w:type="spellEnd"/>
      <w:r w:rsidRPr="00EC6EF6">
        <w:rPr>
          <w:rFonts w:ascii="Kristen ITC" w:hAnsi="Kristen ITC"/>
          <w:sz w:val="24"/>
          <w:szCs w:val="24"/>
        </w:rPr>
        <w:t xml:space="preserve">, Consiglio di Stato, Corte dei Conti, Dipartimento per gli affari di giustizia, Fondo monetario internazionale, Libera Associazioni, nomi e numeri contro le mafie, Ministro degli affari esteri e della cooperazione internazionale, Ministro del lavoro e delle politiche sociali, Ministro della difesa, Ministro della giustizia, Ministro della salute, Ministro dell'ambiente e della tutela del territorio e del mare, Ministro delle infrastrutture e dei trasporti, Ministro delle politiche agricole, alimentari e forestali, Ministro dell'economia e delle finanze, Ministro dell'interno, Ministro dell'istruzione, dell'università e della ricerca, Ministro dello sviluppo economico, Ministro per gli affari regionali e le autonomie, Ministro per la semplificazione e la pubblica amministrazione, Ministro per le riforme costituzionali e rapporti con il Parlamento, Ministro dei beni e delle attività culturali e del turismo, OCSE (Responsabile della Divisione per l'integrità del settore pubblico e Direttore Affari giuridici), Scuola Nazionale dell'Amministrazione, Segretariato del GRECO - Consiglio d'Europa, Sottosegretario di Stato alla Presidenza del Consiglio dei Ministri, </w:t>
      </w:r>
      <w:proofErr w:type="spellStart"/>
      <w:r w:rsidRPr="00EC6EF6">
        <w:rPr>
          <w:rFonts w:ascii="Kristen ITC" w:hAnsi="Kristen ITC"/>
          <w:sz w:val="24"/>
          <w:szCs w:val="24"/>
        </w:rPr>
        <w:t>Transparency</w:t>
      </w:r>
      <w:proofErr w:type="spellEnd"/>
      <w:r w:rsidRPr="00EC6EF6">
        <w:rPr>
          <w:rFonts w:ascii="Kristen ITC" w:hAnsi="Kristen ITC"/>
          <w:sz w:val="24"/>
          <w:szCs w:val="24"/>
        </w:rPr>
        <w:t xml:space="preserve"> International Italia, UGL, UIL, Unità di informazione finanziaria per l'Italia, UPI, World </w:t>
      </w:r>
      <w:proofErr w:type="spellStart"/>
      <w:r w:rsidRPr="00EC6EF6">
        <w:rPr>
          <w:rFonts w:ascii="Kristen ITC" w:hAnsi="Kristen ITC"/>
          <w:sz w:val="24"/>
          <w:szCs w:val="24"/>
        </w:rPr>
        <w:t>Bank</w:t>
      </w:r>
      <w:proofErr w:type="spellEnd"/>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5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Parlamento, il Ministro dell’interno, il Ministro dello Sviluppo Economico, il Ministero degli affari esteri e della cooperazione internazionale, il Ministro per gli affari regionali, il Ministro dell’istruzione dell’università e della ricerca, il Ministro </w:t>
      </w:r>
      <w:r w:rsidRPr="00EC6EF6">
        <w:rPr>
          <w:rFonts w:ascii="Kristen ITC" w:hAnsi="Kristen ITC"/>
          <w:sz w:val="24"/>
          <w:szCs w:val="24"/>
        </w:rPr>
        <w:lastRenderedPageBreak/>
        <w:t xml:space="preserve">dei beni e delle attività culturali e del turismo, la Conferenza delle regioni e delle province autonome, la Banca d’Italia, l’Unità di informazione finanziaria della Banca d’Italia (UIF), il Garante per la protezione dei dati personali, l’Unione delle province d’Italia (UPI), la CGIL, l’UGL, la Confindustria, il Consiglio nazionale dei consumatori e degli utenti (CNCU) presso il Ministero dello sviluppo economico. Lo schema di PNA è stato anche oggetto di una specifica sessione di approfondimento nel corso della Seconda giornata nazionale dei RPC che si è svolta il 24 maggio 2016 e nella quale sono emersi importanti spunti di riflessione.  Le osservazioni e i suggerimenti pervenuti sono stati valutati ai fini della stesura del testo finale del PNA approvato dall’Autorità in data 6 luglio 2016 e inviato per il parere previsto dalla più recente normativa, al Comitato interministeriale e alla Conferenza unificata Stato, Regioni e Autonomie locali. In data 21 luglio e in data 28 luglio 2016, rispettivamente, la Conferenza Unificata2 e il Comitato interministeriale hanno espresso parere favorevole. La Conferenza ha riportato anche osservazioni del 9 giugno 2016 valutate ai fini della versione del PNA licenziata dal Consiglio il 6 luglio 2016.  L’auspicio dell’Autorità è che il PNA possa contribuire a responsabilizzare maggiormente tutti i soggetti che a vario titolo operano nelle amministrazioni - dagli organi di indirizzo, ai RPC, ai dirigenti e ai dipendenti tutti - nella consapevolezza che la prevenzione dei fenomeni corruttivi non possa che essere il frutto di una necessaria interazione delle risorse, delle competenze e delle capacità di ognuno. Coordinamento con il PNA 2013 Come anticipato, il presente PNA ha un’impostazione diversa rispetto al precedente del 2013. Sia nella parte generale che nella parte speciale l’Autorità ha scelto di svolgere approfondimenti su temi specifici senza soffermarsi su tutti quelli già trattati in precedenza. Di seguito sono riportate alcune indicazioni sui termini della modifica o dell’integrazione fra i due documenti. Alla luce delle recenti modifiche normative, in particolare dell’art. 2-bis del d.lgs. 33/2013, introdotto dall’art. 3 del d.lgs. 97/2016 e dell’art. 1, co. 2 bis della l. 190/2012, introdotto dall’art. 41 del d.lgs. 97/2016 (di seguito art. 1, co. 2-bis, l. 190/2012), il PNA 2013 è da intendersi superato con riferimento all’identificazione delle pubbliche amministrazioni e degli enti direttamente destinatari del PNA.  Lo stesso può dirsi per la misura della rotazione, che nel presente PNA trova una più compiuta disciplina, e per la tutela del dipendente che segnala illeciti (cd. </w:t>
      </w:r>
      <w:proofErr w:type="spellStart"/>
      <w:proofErr w:type="gramStart"/>
      <w:r w:rsidRPr="00EC6EF6">
        <w:rPr>
          <w:rFonts w:ascii="Kristen ITC" w:hAnsi="Kristen ITC"/>
          <w:sz w:val="24"/>
          <w:szCs w:val="24"/>
        </w:rPr>
        <w:t>whistleblower</w:t>
      </w:r>
      <w:proofErr w:type="spellEnd"/>
      <w:proofErr w:type="gramEnd"/>
      <w:r w:rsidRPr="00EC6EF6">
        <w:rPr>
          <w:rFonts w:ascii="Kristen ITC" w:hAnsi="Kristen ITC"/>
          <w:sz w:val="24"/>
          <w:szCs w:val="24"/>
        </w:rPr>
        <w:t xml:space="preserve">) su cui l’Autorità ha adottato apposite Linee guida a cui si rinvia.  Sulla trasparenza, oggetto di profonde innovazioni apportate dal d.lgs. 97/2016, vengono forniti alcuni nuovi indirizzi interpretativi, salvo il rinvio a successive Linee guida.  Sui codici di comportamento e sulle altre misure generali, oggetto di orientamenti dell’ANAC successivi </w:t>
      </w:r>
      <w:r w:rsidRPr="00EC6EF6">
        <w:rPr>
          <w:rFonts w:ascii="Kristen ITC" w:hAnsi="Kristen ITC"/>
          <w:sz w:val="24"/>
          <w:szCs w:val="24"/>
        </w:rPr>
        <w:lastRenderedPageBreak/>
        <w:t xml:space="preserve">all’adozione del PNA (es. Linee guida sui codici di comportamento), l’Autorità, pur confermando l’impostazione generale, si riserva di intervenire anche ai fini di un maggior coordinamento. Resta ferma l’impostazione relativa alla gestione del rischio elaborata nel PNA 2013, come integrato dall’Aggiornamento 2015 al PNA, anche con riferimento alla distinzione tra misure organizzative generali e specifiche e alle loro caratteristiche.  Le amministrazioni e gli enti non sono invece più tenuti a trasmettere ad ANAC i dati che il DFP richiedeva secondo quanto previsto nel § 4 del PNA 2013.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2 Il parere è disponibile sul sito http://www.unificata.it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6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Quanto già indicato nell’Aggiornamento 2015 al PNA, sia per la parte generale che per quella speciale, è da intendersi integrativo del presente PNA.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1. Orientamenti internazionali I contenuti e le raccomandazioni raccolte nel presente PNA sono strettamente ancorati ad adempimenti internazionali alla cui attuazione l’ordinamento italiano è tenuto. L’Autorità, infatti, è chiamata a dare il proprio apporto anche in sede di elaborazione e esecuzione di norme internazionali entro l’ordinamento italiano in coerenza di quanto previsto dall’art. 1, co. 2, </w:t>
      </w:r>
      <w:proofErr w:type="spellStart"/>
      <w:r w:rsidRPr="00EC6EF6">
        <w:rPr>
          <w:rFonts w:ascii="Kristen ITC" w:hAnsi="Kristen ITC"/>
          <w:sz w:val="24"/>
          <w:szCs w:val="24"/>
        </w:rPr>
        <w:t>lett</w:t>
      </w:r>
      <w:proofErr w:type="spellEnd"/>
      <w:r w:rsidRPr="00EC6EF6">
        <w:rPr>
          <w:rFonts w:ascii="Kristen ITC" w:hAnsi="Kristen ITC"/>
          <w:sz w:val="24"/>
          <w:szCs w:val="24"/>
        </w:rPr>
        <w:t xml:space="preserve">. a) della l. 190/2012 secondo cui l’Autorità «collabora con i paritetici organismi stranieri, con le organizzazioni regionali e internazionali competenti». In questa prospettiva l’ANAC partecipa attivamente alle attività svolte nelle sedi internazionali quali l’ONU, il G20, l’OCSE, il Consiglio d’Europa e l’Unione europea da cui emergono, a fianco dell’azione repressiva, importanti orientamenti e leve di tipo preventivo della corruzione di cui questo PNA fa parte.  Si consideri, anzitutto, l’ambito della cooperazione intergovernativa che si situa a livello internazionale entro le Nazioni Unite. Il Report adottato dallo </w:t>
      </w:r>
      <w:proofErr w:type="spellStart"/>
      <w:r w:rsidRPr="00EC6EF6">
        <w:rPr>
          <w:rFonts w:ascii="Kristen ITC" w:hAnsi="Kristen ITC"/>
          <w:sz w:val="24"/>
          <w:szCs w:val="24"/>
        </w:rPr>
        <w:t>United</w:t>
      </w:r>
      <w:proofErr w:type="spellEnd"/>
      <w:r w:rsidRPr="00EC6EF6">
        <w:rPr>
          <w:rFonts w:ascii="Kristen ITC" w:hAnsi="Kristen ITC"/>
          <w:sz w:val="24"/>
          <w:szCs w:val="24"/>
        </w:rPr>
        <w:t xml:space="preserve"> Nations Office on </w:t>
      </w:r>
      <w:proofErr w:type="spellStart"/>
      <w:r w:rsidRPr="00EC6EF6">
        <w:rPr>
          <w:rFonts w:ascii="Kristen ITC" w:hAnsi="Kristen ITC"/>
          <w:sz w:val="24"/>
          <w:szCs w:val="24"/>
        </w:rPr>
        <w:t>Drugs</w:t>
      </w:r>
      <w:proofErr w:type="spellEnd"/>
      <w:r w:rsidRPr="00EC6EF6">
        <w:rPr>
          <w:rFonts w:ascii="Kristen ITC" w:hAnsi="Kristen ITC"/>
          <w:sz w:val="24"/>
          <w:szCs w:val="24"/>
        </w:rPr>
        <w:t xml:space="preserve"> and Crime (di seguito UNODC) nel 2015 al termine del primo esercizio di </w:t>
      </w:r>
      <w:proofErr w:type="spellStart"/>
      <w:r w:rsidRPr="00EC6EF6">
        <w:rPr>
          <w:rFonts w:ascii="Kristen ITC" w:hAnsi="Kristen ITC"/>
          <w:sz w:val="24"/>
          <w:szCs w:val="24"/>
        </w:rPr>
        <w:t>peer</w:t>
      </w:r>
      <w:proofErr w:type="spellEnd"/>
      <w:r w:rsidRPr="00EC6EF6">
        <w:rPr>
          <w:rFonts w:ascii="Kristen ITC" w:hAnsi="Kristen ITC"/>
          <w:sz w:val="24"/>
          <w:szCs w:val="24"/>
        </w:rPr>
        <w:t xml:space="preserve"> </w:t>
      </w:r>
      <w:proofErr w:type="spellStart"/>
      <w:r w:rsidRPr="00EC6EF6">
        <w:rPr>
          <w:rFonts w:ascii="Kristen ITC" w:hAnsi="Kristen ITC"/>
          <w:sz w:val="24"/>
          <w:szCs w:val="24"/>
        </w:rPr>
        <w:t>review</w:t>
      </w:r>
      <w:proofErr w:type="spellEnd"/>
      <w:r w:rsidRPr="00EC6EF6">
        <w:rPr>
          <w:rFonts w:ascii="Kristen ITC" w:hAnsi="Kristen ITC"/>
          <w:sz w:val="24"/>
          <w:szCs w:val="24"/>
        </w:rPr>
        <w:t xml:space="preserve">, nel sottolineare positivamente il lavoro svolto dal nostro Paese (a legislazione vigente al termine del 2013), ha tuttavia indicato taluni punti sui quali occorre introdurre miglioramenti. In particolare è evidenziata la necessità </w:t>
      </w:r>
      <w:r w:rsidRPr="00EC6EF6">
        <w:rPr>
          <w:rFonts w:ascii="Kristen ITC" w:hAnsi="Kristen ITC"/>
          <w:sz w:val="24"/>
          <w:szCs w:val="24"/>
        </w:rPr>
        <w:lastRenderedPageBreak/>
        <w:t xml:space="preserve">di dare corretta esecuzione ai procedimenti disciplinari nei confronti di chi, all’interno della pubblica amministrazione e degli ordini professionali, venga coinvolto in fatti di corruzione. Il Global Compact – che opera nel quadro dell’Agenda delle NU 2030 per lo sviluppo sostenibile – incoraggia le aziende che operano in campo sia pubblicistico che privatistico ad adottare politiche di impresa socialmente responsabili, in adempimento dell’Obiettivo 16° dell’Agenda stessa indirizzato alla promozione di una società giusta, pacifica e inclusiva. Il 10° Principio del Global Compact (2014) indica l’obiettivo di sviluppare politiche e programmi contro la corruzione con riferimento alle catene di subfornitura imprenditoriali: evidenti sono i riflessi della tematica sul mondo degli appalti di opere pubbliche. Il Global Compact ha anche emanato il Business for the </w:t>
      </w:r>
      <w:proofErr w:type="spellStart"/>
      <w:r w:rsidRPr="00EC6EF6">
        <w:rPr>
          <w:rFonts w:ascii="Kristen ITC" w:hAnsi="Kristen ITC"/>
          <w:sz w:val="24"/>
          <w:szCs w:val="24"/>
        </w:rPr>
        <w:t>Rule</w:t>
      </w:r>
      <w:proofErr w:type="spellEnd"/>
      <w:r w:rsidRPr="00EC6EF6">
        <w:rPr>
          <w:rFonts w:ascii="Kristen ITC" w:hAnsi="Kristen ITC"/>
          <w:sz w:val="24"/>
          <w:szCs w:val="24"/>
        </w:rPr>
        <w:t xml:space="preserve"> of Law Framework (2015) che impegna il mondo imprenditoriale socialmente responsabile a iniziative di rilievo per il rafforzamento della trasparenza e dello stato di diritto, con diretta attenzione ai diritti umani e agli investimenti sociali. Nella stessa direzione si situa il Report </w:t>
      </w:r>
      <w:proofErr w:type="spellStart"/>
      <w:r w:rsidRPr="00EC6EF6">
        <w:rPr>
          <w:rFonts w:ascii="Kristen ITC" w:hAnsi="Kristen ITC"/>
          <w:sz w:val="24"/>
          <w:szCs w:val="24"/>
        </w:rPr>
        <w:t>Ruggie</w:t>
      </w:r>
      <w:proofErr w:type="spellEnd"/>
      <w:r w:rsidRPr="00EC6EF6">
        <w:rPr>
          <w:rFonts w:ascii="Kristen ITC" w:hAnsi="Kristen ITC"/>
          <w:sz w:val="24"/>
          <w:szCs w:val="24"/>
        </w:rPr>
        <w:t xml:space="preserve"> intitolato al </w:t>
      </w:r>
      <w:proofErr w:type="spellStart"/>
      <w:r w:rsidRPr="00EC6EF6">
        <w:rPr>
          <w:rFonts w:ascii="Kristen ITC" w:hAnsi="Kristen ITC"/>
          <w:sz w:val="24"/>
          <w:szCs w:val="24"/>
        </w:rPr>
        <w:t>Protect</w:t>
      </w:r>
      <w:proofErr w:type="spellEnd"/>
      <w:r w:rsidRPr="00EC6EF6">
        <w:rPr>
          <w:rFonts w:ascii="Kristen ITC" w:hAnsi="Kristen ITC"/>
          <w:sz w:val="24"/>
          <w:szCs w:val="24"/>
        </w:rPr>
        <w:t xml:space="preserve">, </w:t>
      </w:r>
      <w:proofErr w:type="spellStart"/>
      <w:r w:rsidRPr="00EC6EF6">
        <w:rPr>
          <w:rFonts w:ascii="Kristen ITC" w:hAnsi="Kristen ITC"/>
          <w:sz w:val="24"/>
          <w:szCs w:val="24"/>
        </w:rPr>
        <w:t>Respect</w:t>
      </w:r>
      <w:proofErr w:type="spellEnd"/>
      <w:r w:rsidRPr="00EC6EF6">
        <w:rPr>
          <w:rFonts w:ascii="Kristen ITC" w:hAnsi="Kristen ITC"/>
          <w:sz w:val="24"/>
          <w:szCs w:val="24"/>
        </w:rPr>
        <w:t xml:space="preserve"> and </w:t>
      </w:r>
      <w:proofErr w:type="spellStart"/>
      <w:r w:rsidRPr="00EC6EF6">
        <w:rPr>
          <w:rFonts w:ascii="Kristen ITC" w:hAnsi="Kristen ITC"/>
          <w:sz w:val="24"/>
          <w:szCs w:val="24"/>
        </w:rPr>
        <w:t>Remedy</w:t>
      </w:r>
      <w:proofErr w:type="spellEnd"/>
      <w:r w:rsidRPr="00EC6EF6">
        <w:rPr>
          <w:rFonts w:ascii="Kristen ITC" w:hAnsi="Kristen ITC"/>
          <w:sz w:val="24"/>
          <w:szCs w:val="24"/>
        </w:rPr>
        <w:t xml:space="preserve"> Framework (2008), seguito dal </w:t>
      </w:r>
      <w:proofErr w:type="spellStart"/>
      <w:r w:rsidRPr="00EC6EF6">
        <w:rPr>
          <w:rFonts w:ascii="Kristen ITC" w:hAnsi="Kristen ITC"/>
          <w:sz w:val="24"/>
          <w:szCs w:val="24"/>
        </w:rPr>
        <w:t>Guiding</w:t>
      </w:r>
      <w:proofErr w:type="spellEnd"/>
      <w:r w:rsidRPr="00EC6EF6">
        <w:rPr>
          <w:rFonts w:ascii="Kristen ITC" w:hAnsi="Kristen ITC"/>
          <w:sz w:val="24"/>
          <w:szCs w:val="24"/>
        </w:rPr>
        <w:t xml:space="preserve"> </w:t>
      </w:r>
      <w:proofErr w:type="spellStart"/>
      <w:r w:rsidRPr="00EC6EF6">
        <w:rPr>
          <w:rFonts w:ascii="Kristen ITC" w:hAnsi="Kristen ITC"/>
          <w:sz w:val="24"/>
          <w:szCs w:val="24"/>
        </w:rPr>
        <w:t>Principles</w:t>
      </w:r>
      <w:proofErr w:type="spellEnd"/>
      <w:r w:rsidRPr="00EC6EF6">
        <w:rPr>
          <w:rFonts w:ascii="Kristen ITC" w:hAnsi="Kristen ITC"/>
          <w:sz w:val="24"/>
          <w:szCs w:val="24"/>
        </w:rPr>
        <w:t xml:space="preserve"> on Business and Human </w:t>
      </w:r>
      <w:proofErr w:type="spellStart"/>
      <w:r w:rsidRPr="00EC6EF6">
        <w:rPr>
          <w:rFonts w:ascii="Kristen ITC" w:hAnsi="Kristen ITC"/>
          <w:sz w:val="24"/>
          <w:szCs w:val="24"/>
        </w:rPr>
        <w:t>Rights</w:t>
      </w:r>
      <w:proofErr w:type="spellEnd"/>
      <w:r w:rsidRPr="00EC6EF6">
        <w:rPr>
          <w:rFonts w:ascii="Kristen ITC" w:hAnsi="Kristen ITC"/>
          <w:sz w:val="24"/>
          <w:szCs w:val="24"/>
        </w:rPr>
        <w:t xml:space="preserve"> (2011): la comunità internazionale segnala la diretta responsabilità dell’attività di impresa nel rispetto di standard minimi di tutela dei diritti dell’uomo gravemente pregiudicati anche da pratiche di corruzione. L’enfasi è posta sul diritto di ciascuna persona a vivere in un ambiente legale ed integro e sul volano che quest’ultimo rappresenta per la crescita economica del paese. Nell’ambito del G20 l’Anti </w:t>
      </w:r>
      <w:proofErr w:type="spellStart"/>
      <w:r w:rsidRPr="00EC6EF6">
        <w:rPr>
          <w:rFonts w:ascii="Kristen ITC" w:hAnsi="Kristen ITC"/>
          <w:sz w:val="24"/>
          <w:szCs w:val="24"/>
        </w:rPr>
        <w:t>Corruption</w:t>
      </w:r>
      <w:proofErr w:type="spellEnd"/>
      <w:r w:rsidRPr="00EC6EF6">
        <w:rPr>
          <w:rFonts w:ascii="Kristen ITC" w:hAnsi="Kristen ITC"/>
          <w:sz w:val="24"/>
          <w:szCs w:val="24"/>
        </w:rPr>
        <w:t xml:space="preserve"> </w:t>
      </w:r>
      <w:proofErr w:type="spellStart"/>
      <w:r w:rsidRPr="00EC6EF6">
        <w:rPr>
          <w:rFonts w:ascii="Kristen ITC" w:hAnsi="Kristen ITC"/>
          <w:sz w:val="24"/>
          <w:szCs w:val="24"/>
        </w:rPr>
        <w:t>Working</w:t>
      </w:r>
      <w:proofErr w:type="spellEnd"/>
      <w:r w:rsidRPr="00EC6EF6">
        <w:rPr>
          <w:rFonts w:ascii="Kristen ITC" w:hAnsi="Kristen ITC"/>
          <w:sz w:val="24"/>
          <w:szCs w:val="24"/>
        </w:rPr>
        <w:t xml:space="preserve"> Group (di seguito ACWG) lavora con l’OCSE e la Banca Mondiale per fornire indirizzi di policy nella definizione e attuazione delle misure contro la corruzione: gli High Level </w:t>
      </w:r>
      <w:proofErr w:type="spellStart"/>
      <w:r w:rsidRPr="00EC6EF6">
        <w:rPr>
          <w:rFonts w:ascii="Kristen ITC" w:hAnsi="Kristen ITC"/>
          <w:sz w:val="24"/>
          <w:szCs w:val="24"/>
        </w:rPr>
        <w:t>Principles</w:t>
      </w:r>
      <w:proofErr w:type="spellEnd"/>
      <w:r w:rsidRPr="00EC6EF6">
        <w:rPr>
          <w:rFonts w:ascii="Kristen ITC" w:hAnsi="Kristen ITC"/>
          <w:sz w:val="24"/>
          <w:szCs w:val="24"/>
        </w:rPr>
        <w:t xml:space="preserve"> sulla </w:t>
      </w:r>
      <w:proofErr w:type="spellStart"/>
      <w:r w:rsidRPr="00EC6EF6">
        <w:rPr>
          <w:rFonts w:ascii="Kristen ITC" w:hAnsi="Kristen ITC"/>
          <w:sz w:val="24"/>
          <w:szCs w:val="24"/>
        </w:rPr>
        <w:t>governance</w:t>
      </w:r>
      <w:proofErr w:type="spellEnd"/>
      <w:r w:rsidRPr="00EC6EF6">
        <w:rPr>
          <w:rFonts w:ascii="Kristen ITC" w:hAnsi="Kristen ITC"/>
          <w:sz w:val="24"/>
          <w:szCs w:val="24"/>
        </w:rPr>
        <w:t xml:space="preserve"> dell’anticorruzione mondiale vengono adottati dai Leader nel corso dei summit che, di volta in volta, concludono l’esercizio multilaterale annuale.  Tra i documenti più recenti, vi sono specifici riferimenti alle aeree di approfondimento nel presente PNA. Si segnalano, tra gli altri: gli High Level </w:t>
      </w:r>
      <w:proofErr w:type="spellStart"/>
      <w:r w:rsidRPr="00EC6EF6">
        <w:rPr>
          <w:rFonts w:ascii="Kristen ITC" w:hAnsi="Kristen ITC"/>
          <w:sz w:val="24"/>
          <w:szCs w:val="24"/>
        </w:rPr>
        <w:t>Principles</w:t>
      </w:r>
      <w:proofErr w:type="spellEnd"/>
      <w:r w:rsidRPr="00EC6EF6">
        <w:rPr>
          <w:rFonts w:ascii="Kristen ITC" w:hAnsi="Kristen ITC"/>
          <w:sz w:val="24"/>
          <w:szCs w:val="24"/>
        </w:rPr>
        <w:t xml:space="preserve"> on </w:t>
      </w:r>
      <w:proofErr w:type="spellStart"/>
      <w:r w:rsidRPr="00EC6EF6">
        <w:rPr>
          <w:rFonts w:ascii="Kristen ITC" w:hAnsi="Kristen ITC"/>
          <w:sz w:val="24"/>
          <w:szCs w:val="24"/>
        </w:rPr>
        <w:t>Beneficial</w:t>
      </w:r>
      <w:proofErr w:type="spellEnd"/>
      <w:r w:rsidRPr="00EC6EF6">
        <w:rPr>
          <w:rFonts w:ascii="Kristen ITC" w:hAnsi="Kristen ITC"/>
          <w:sz w:val="24"/>
          <w:szCs w:val="24"/>
        </w:rPr>
        <w:t xml:space="preserve"> </w:t>
      </w:r>
      <w:proofErr w:type="spellStart"/>
      <w:r w:rsidRPr="00EC6EF6">
        <w:rPr>
          <w:rFonts w:ascii="Kristen ITC" w:hAnsi="Kristen ITC"/>
          <w:sz w:val="24"/>
          <w:szCs w:val="24"/>
        </w:rPr>
        <w:t>Ownership</w:t>
      </w:r>
      <w:proofErr w:type="spellEnd"/>
      <w:r w:rsidRPr="00EC6EF6">
        <w:rPr>
          <w:rFonts w:ascii="Kristen ITC" w:hAnsi="Kristen ITC"/>
          <w:sz w:val="24"/>
          <w:szCs w:val="24"/>
        </w:rPr>
        <w:t xml:space="preserve"> </w:t>
      </w:r>
      <w:proofErr w:type="spellStart"/>
      <w:r w:rsidRPr="00EC6EF6">
        <w:rPr>
          <w:rFonts w:ascii="Kristen ITC" w:hAnsi="Kristen ITC"/>
          <w:sz w:val="24"/>
          <w:szCs w:val="24"/>
        </w:rPr>
        <w:t>Transparency</w:t>
      </w:r>
      <w:proofErr w:type="spellEnd"/>
      <w:r w:rsidRPr="00EC6EF6">
        <w:rPr>
          <w:rFonts w:ascii="Kristen ITC" w:hAnsi="Kristen ITC"/>
          <w:sz w:val="24"/>
          <w:szCs w:val="24"/>
        </w:rPr>
        <w:t xml:space="preserve"> (2014) sulla (effettiva) trasparenza degli assetti societari, alla base dell’adozione del Piano nazionale italiano sui </w:t>
      </w:r>
      <w:proofErr w:type="spellStart"/>
      <w:r w:rsidRPr="00EC6EF6">
        <w:rPr>
          <w:rFonts w:ascii="Kristen ITC" w:hAnsi="Kristen ITC"/>
          <w:sz w:val="24"/>
          <w:szCs w:val="24"/>
        </w:rPr>
        <w:t>beneficial</w:t>
      </w:r>
      <w:proofErr w:type="spellEnd"/>
      <w:r w:rsidRPr="00EC6EF6">
        <w:rPr>
          <w:rFonts w:ascii="Kristen ITC" w:hAnsi="Kristen ITC"/>
          <w:sz w:val="24"/>
          <w:szCs w:val="24"/>
        </w:rPr>
        <w:t xml:space="preserve"> </w:t>
      </w:r>
      <w:proofErr w:type="spellStart"/>
      <w:r w:rsidRPr="00EC6EF6">
        <w:rPr>
          <w:rFonts w:ascii="Kristen ITC" w:hAnsi="Kristen ITC"/>
          <w:sz w:val="24"/>
          <w:szCs w:val="24"/>
        </w:rPr>
        <w:t>ownership</w:t>
      </w:r>
      <w:proofErr w:type="spellEnd"/>
      <w:r w:rsidRPr="00EC6EF6">
        <w:rPr>
          <w:rFonts w:ascii="Kristen ITC" w:hAnsi="Kristen ITC"/>
          <w:sz w:val="24"/>
          <w:szCs w:val="24"/>
        </w:rPr>
        <w:t xml:space="preserve"> del 2015 e in linea con la IV Direttiva antiriciclaggio dell’UE (849/2015) per l’adozione del registro delle imprese. La Direttiva riguarda, poi, più in generale i presidi di prevenzione antiriciclaggio consistenti in misure di adeguata verifica, tracciabilità delle operazioni e di segnalazione di operazioni sospette. Rilevanti risultano anche gli High Level </w:t>
      </w:r>
      <w:proofErr w:type="spellStart"/>
      <w:r w:rsidRPr="00EC6EF6">
        <w:rPr>
          <w:rFonts w:ascii="Kristen ITC" w:hAnsi="Kristen ITC"/>
          <w:sz w:val="24"/>
          <w:szCs w:val="24"/>
        </w:rPr>
        <w:t>Principles</w:t>
      </w:r>
      <w:proofErr w:type="spellEnd"/>
      <w:r w:rsidRPr="00EC6EF6">
        <w:rPr>
          <w:rFonts w:ascii="Kristen ITC" w:hAnsi="Kristen ITC"/>
          <w:sz w:val="24"/>
          <w:szCs w:val="24"/>
        </w:rPr>
        <w:t xml:space="preserve"> on </w:t>
      </w:r>
      <w:proofErr w:type="spellStart"/>
      <w:r w:rsidRPr="00EC6EF6">
        <w:rPr>
          <w:rFonts w:ascii="Kristen ITC" w:hAnsi="Kristen ITC"/>
          <w:sz w:val="24"/>
          <w:szCs w:val="24"/>
        </w:rPr>
        <w:t>integrity</w:t>
      </w:r>
      <w:proofErr w:type="spellEnd"/>
      <w:r w:rsidRPr="00EC6EF6">
        <w:rPr>
          <w:rFonts w:ascii="Kristen ITC" w:hAnsi="Kristen ITC"/>
          <w:sz w:val="24"/>
          <w:szCs w:val="24"/>
        </w:rPr>
        <w:t xml:space="preserve"> and security in private </w:t>
      </w:r>
      <w:proofErr w:type="spellStart"/>
      <w:r w:rsidRPr="00EC6EF6">
        <w:rPr>
          <w:rFonts w:ascii="Kristen ITC" w:hAnsi="Kristen ITC"/>
          <w:sz w:val="24"/>
          <w:szCs w:val="24"/>
        </w:rPr>
        <w:t>sector</w:t>
      </w:r>
      <w:proofErr w:type="spellEnd"/>
      <w:r w:rsidRPr="00EC6EF6">
        <w:rPr>
          <w:rFonts w:ascii="Kristen ITC" w:hAnsi="Kristen ITC"/>
          <w:sz w:val="24"/>
          <w:szCs w:val="24"/>
        </w:rPr>
        <w:t xml:space="preserve"> (2015) sulla trasparenza nel settore privato.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lastRenderedPageBreak/>
        <w:t xml:space="preserve"> 7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Particolare importanza, in detto contesto, assumono gli High Level </w:t>
      </w:r>
      <w:proofErr w:type="spellStart"/>
      <w:r w:rsidRPr="00EC6EF6">
        <w:rPr>
          <w:rFonts w:ascii="Kristen ITC" w:hAnsi="Kristen ITC"/>
          <w:sz w:val="24"/>
          <w:szCs w:val="24"/>
        </w:rPr>
        <w:t>Principles</w:t>
      </w:r>
      <w:proofErr w:type="spellEnd"/>
      <w:r w:rsidRPr="00EC6EF6">
        <w:rPr>
          <w:rFonts w:ascii="Kristen ITC" w:hAnsi="Kristen ITC"/>
          <w:sz w:val="24"/>
          <w:szCs w:val="24"/>
        </w:rPr>
        <w:t xml:space="preserve"> on </w:t>
      </w:r>
      <w:proofErr w:type="spellStart"/>
      <w:r w:rsidRPr="00EC6EF6">
        <w:rPr>
          <w:rFonts w:ascii="Kristen ITC" w:hAnsi="Kristen ITC"/>
          <w:sz w:val="24"/>
          <w:szCs w:val="24"/>
        </w:rPr>
        <w:t>integrity</w:t>
      </w:r>
      <w:proofErr w:type="spellEnd"/>
      <w:r w:rsidRPr="00EC6EF6">
        <w:rPr>
          <w:rFonts w:ascii="Kristen ITC" w:hAnsi="Kristen ITC"/>
          <w:sz w:val="24"/>
          <w:szCs w:val="24"/>
        </w:rPr>
        <w:t xml:space="preserve"> in </w:t>
      </w:r>
      <w:proofErr w:type="spellStart"/>
      <w:r w:rsidRPr="00EC6EF6">
        <w:rPr>
          <w:rFonts w:ascii="Kristen ITC" w:hAnsi="Kristen ITC"/>
          <w:sz w:val="24"/>
          <w:szCs w:val="24"/>
        </w:rPr>
        <w:t>Procurement</w:t>
      </w:r>
      <w:proofErr w:type="spellEnd"/>
      <w:r w:rsidRPr="00EC6EF6">
        <w:rPr>
          <w:rFonts w:ascii="Kristen ITC" w:hAnsi="Kristen ITC"/>
          <w:sz w:val="24"/>
          <w:szCs w:val="24"/>
        </w:rPr>
        <w:t xml:space="preserve"> (2015), frutto dello sforzo comune in ambito G20 di OCSE, Italia e Brasile: essi contengono sempre specifici riferimenti agli appalti telematici e all’integrità e trasparenza delle procedure. Per rimarcare l’importanza di quest’ultimo documento, e più in generale la necessità di presidiare efficacemente il settore del </w:t>
      </w:r>
      <w:proofErr w:type="spellStart"/>
      <w:r w:rsidRPr="00EC6EF6">
        <w:rPr>
          <w:rFonts w:ascii="Kristen ITC" w:hAnsi="Kristen ITC"/>
          <w:sz w:val="24"/>
          <w:szCs w:val="24"/>
        </w:rPr>
        <w:t>Procurement</w:t>
      </w:r>
      <w:proofErr w:type="spellEnd"/>
      <w:r w:rsidRPr="00EC6EF6">
        <w:rPr>
          <w:rFonts w:ascii="Kristen ITC" w:hAnsi="Kristen ITC"/>
          <w:sz w:val="24"/>
          <w:szCs w:val="24"/>
        </w:rPr>
        <w:t xml:space="preserve">, l’OCSE ha di recente pubblicato un Report3 in cui si sottolinea come il tema sia di rilievo fondamentale, sia per l’intrinseco legame tra settore pubblico e privato, sia perché nei Paesi OCSE nel 2013 gli appalti pubblici hanno rappresentato il 12% del PIL e il 29% della spesa delle amministrazioni pubbliche. Il G20, in collaborazione con OCSE, con il Gruppo d’Azione Finanziaria Internazionale (di seguito GAFI), UNODC e World </w:t>
      </w:r>
      <w:proofErr w:type="spellStart"/>
      <w:r w:rsidRPr="00EC6EF6">
        <w:rPr>
          <w:rFonts w:ascii="Kristen ITC" w:hAnsi="Kristen ITC"/>
          <w:sz w:val="24"/>
          <w:szCs w:val="24"/>
        </w:rPr>
        <w:t>Bank</w:t>
      </w:r>
      <w:proofErr w:type="spellEnd"/>
      <w:r w:rsidRPr="00EC6EF6">
        <w:rPr>
          <w:rFonts w:ascii="Kristen ITC" w:hAnsi="Kristen ITC"/>
          <w:sz w:val="24"/>
          <w:szCs w:val="24"/>
        </w:rPr>
        <w:t xml:space="preserve">, adotta anche un Piano d’Azione biennale che individua, con la tecnica del </w:t>
      </w:r>
      <w:proofErr w:type="spellStart"/>
      <w:r w:rsidRPr="00EC6EF6">
        <w:rPr>
          <w:rFonts w:ascii="Kristen ITC" w:hAnsi="Kristen ITC"/>
          <w:sz w:val="24"/>
          <w:szCs w:val="24"/>
        </w:rPr>
        <w:t>risk</w:t>
      </w:r>
      <w:proofErr w:type="spellEnd"/>
      <w:r w:rsidRPr="00EC6EF6">
        <w:rPr>
          <w:rFonts w:ascii="Kristen ITC" w:hAnsi="Kristen ITC"/>
          <w:sz w:val="24"/>
          <w:szCs w:val="24"/>
        </w:rPr>
        <w:t xml:space="preserve"> management, le aree più esposte e prioritarie per la lotta alla corruzione. Le stesse sono censite come segue: </w:t>
      </w:r>
      <w:proofErr w:type="spellStart"/>
      <w:r w:rsidRPr="00EC6EF6">
        <w:rPr>
          <w:rFonts w:ascii="Kristen ITC" w:hAnsi="Kristen ITC"/>
          <w:sz w:val="24"/>
          <w:szCs w:val="24"/>
        </w:rPr>
        <w:t>ownership</w:t>
      </w:r>
      <w:proofErr w:type="spellEnd"/>
      <w:r w:rsidRPr="00EC6EF6">
        <w:rPr>
          <w:rFonts w:ascii="Kristen ITC" w:hAnsi="Kristen ITC"/>
          <w:sz w:val="24"/>
          <w:szCs w:val="24"/>
        </w:rPr>
        <w:t xml:space="preserve"> </w:t>
      </w:r>
      <w:proofErr w:type="spellStart"/>
      <w:r w:rsidRPr="00EC6EF6">
        <w:rPr>
          <w:rFonts w:ascii="Kristen ITC" w:hAnsi="Kristen ITC"/>
          <w:sz w:val="24"/>
          <w:szCs w:val="24"/>
        </w:rPr>
        <w:t>transparency</w:t>
      </w:r>
      <w:proofErr w:type="spellEnd"/>
      <w:r w:rsidRPr="00EC6EF6">
        <w:rPr>
          <w:rFonts w:ascii="Kristen ITC" w:hAnsi="Kristen ITC"/>
          <w:sz w:val="24"/>
          <w:szCs w:val="24"/>
        </w:rPr>
        <w:t xml:space="preserve">; </w:t>
      </w:r>
      <w:proofErr w:type="spellStart"/>
      <w:r w:rsidRPr="00EC6EF6">
        <w:rPr>
          <w:rFonts w:ascii="Kristen ITC" w:hAnsi="Kristen ITC"/>
          <w:sz w:val="24"/>
          <w:szCs w:val="24"/>
        </w:rPr>
        <w:t>bribery</w:t>
      </w:r>
      <w:proofErr w:type="spellEnd"/>
      <w:r w:rsidRPr="00EC6EF6">
        <w:rPr>
          <w:rFonts w:ascii="Kristen ITC" w:hAnsi="Kristen ITC"/>
          <w:sz w:val="24"/>
          <w:szCs w:val="24"/>
        </w:rPr>
        <w:t xml:space="preserve">; private </w:t>
      </w:r>
      <w:proofErr w:type="spellStart"/>
      <w:r w:rsidRPr="00EC6EF6">
        <w:rPr>
          <w:rFonts w:ascii="Kristen ITC" w:hAnsi="Kristen ITC"/>
          <w:sz w:val="24"/>
          <w:szCs w:val="24"/>
        </w:rPr>
        <w:t>sector</w:t>
      </w:r>
      <w:proofErr w:type="spellEnd"/>
      <w:r w:rsidRPr="00EC6EF6">
        <w:rPr>
          <w:rFonts w:ascii="Kristen ITC" w:hAnsi="Kristen ITC"/>
          <w:sz w:val="24"/>
          <w:szCs w:val="24"/>
        </w:rPr>
        <w:t xml:space="preserve"> </w:t>
      </w:r>
      <w:proofErr w:type="spellStart"/>
      <w:r w:rsidRPr="00EC6EF6">
        <w:rPr>
          <w:rFonts w:ascii="Kristen ITC" w:hAnsi="Kristen ITC"/>
          <w:sz w:val="24"/>
          <w:szCs w:val="24"/>
        </w:rPr>
        <w:t>transparency</w:t>
      </w:r>
      <w:proofErr w:type="spellEnd"/>
      <w:r w:rsidRPr="00EC6EF6">
        <w:rPr>
          <w:rFonts w:ascii="Kristen ITC" w:hAnsi="Kristen ITC"/>
          <w:sz w:val="24"/>
          <w:szCs w:val="24"/>
        </w:rPr>
        <w:t xml:space="preserve"> and </w:t>
      </w:r>
      <w:proofErr w:type="spellStart"/>
      <w:r w:rsidRPr="00EC6EF6">
        <w:rPr>
          <w:rFonts w:ascii="Kristen ITC" w:hAnsi="Kristen ITC"/>
          <w:sz w:val="24"/>
          <w:szCs w:val="24"/>
        </w:rPr>
        <w:t>integrity</w:t>
      </w:r>
      <w:proofErr w:type="spellEnd"/>
      <w:r w:rsidRPr="00EC6EF6">
        <w:rPr>
          <w:rFonts w:ascii="Kristen ITC" w:hAnsi="Kristen ITC"/>
          <w:sz w:val="24"/>
          <w:szCs w:val="24"/>
        </w:rPr>
        <w:t xml:space="preserve">; </w:t>
      </w:r>
      <w:proofErr w:type="spellStart"/>
      <w:r w:rsidRPr="00EC6EF6">
        <w:rPr>
          <w:rFonts w:ascii="Kristen ITC" w:hAnsi="Kristen ITC"/>
          <w:sz w:val="24"/>
          <w:szCs w:val="24"/>
        </w:rPr>
        <w:t>international</w:t>
      </w:r>
      <w:proofErr w:type="spellEnd"/>
      <w:r w:rsidRPr="00EC6EF6">
        <w:rPr>
          <w:rFonts w:ascii="Kristen ITC" w:hAnsi="Kristen ITC"/>
          <w:sz w:val="24"/>
          <w:szCs w:val="24"/>
        </w:rPr>
        <w:t xml:space="preserve"> </w:t>
      </w:r>
      <w:proofErr w:type="spellStart"/>
      <w:r w:rsidRPr="00EC6EF6">
        <w:rPr>
          <w:rFonts w:ascii="Kristen ITC" w:hAnsi="Kristen ITC"/>
          <w:sz w:val="24"/>
          <w:szCs w:val="24"/>
        </w:rPr>
        <w:t>cooperation</w:t>
      </w:r>
      <w:proofErr w:type="spellEnd"/>
      <w:r w:rsidRPr="00EC6EF6">
        <w:rPr>
          <w:rFonts w:ascii="Kristen ITC" w:hAnsi="Kristen ITC"/>
          <w:sz w:val="24"/>
          <w:szCs w:val="24"/>
        </w:rPr>
        <w:t xml:space="preserve">; public </w:t>
      </w:r>
      <w:proofErr w:type="spellStart"/>
      <w:r w:rsidRPr="00EC6EF6">
        <w:rPr>
          <w:rFonts w:ascii="Kristen ITC" w:hAnsi="Kristen ITC"/>
          <w:sz w:val="24"/>
          <w:szCs w:val="24"/>
        </w:rPr>
        <w:t>sector</w:t>
      </w:r>
      <w:proofErr w:type="spellEnd"/>
      <w:r w:rsidRPr="00EC6EF6">
        <w:rPr>
          <w:rFonts w:ascii="Kristen ITC" w:hAnsi="Kristen ITC"/>
          <w:sz w:val="24"/>
          <w:szCs w:val="24"/>
        </w:rPr>
        <w:t xml:space="preserve"> </w:t>
      </w:r>
      <w:proofErr w:type="spellStart"/>
      <w:r w:rsidRPr="00EC6EF6">
        <w:rPr>
          <w:rFonts w:ascii="Kristen ITC" w:hAnsi="Kristen ITC"/>
          <w:sz w:val="24"/>
          <w:szCs w:val="24"/>
        </w:rPr>
        <w:t>transparency</w:t>
      </w:r>
      <w:proofErr w:type="spellEnd"/>
      <w:r w:rsidRPr="00EC6EF6">
        <w:rPr>
          <w:rFonts w:ascii="Kristen ITC" w:hAnsi="Kristen ITC"/>
          <w:sz w:val="24"/>
          <w:szCs w:val="24"/>
        </w:rPr>
        <w:t xml:space="preserve"> and </w:t>
      </w:r>
      <w:proofErr w:type="spellStart"/>
      <w:r w:rsidRPr="00EC6EF6">
        <w:rPr>
          <w:rFonts w:ascii="Kristen ITC" w:hAnsi="Kristen ITC"/>
          <w:sz w:val="24"/>
          <w:szCs w:val="24"/>
        </w:rPr>
        <w:t>integrity</w:t>
      </w:r>
      <w:proofErr w:type="spellEnd"/>
      <w:r w:rsidRPr="00EC6EF6">
        <w:rPr>
          <w:rFonts w:ascii="Kristen ITC" w:hAnsi="Kristen ITC"/>
          <w:sz w:val="24"/>
          <w:szCs w:val="24"/>
        </w:rPr>
        <w:t xml:space="preserve">, </w:t>
      </w:r>
      <w:proofErr w:type="spellStart"/>
      <w:r w:rsidRPr="00EC6EF6">
        <w:rPr>
          <w:rFonts w:ascii="Kristen ITC" w:hAnsi="Kristen ITC"/>
          <w:sz w:val="24"/>
          <w:szCs w:val="24"/>
        </w:rPr>
        <w:t>extractives</w:t>
      </w:r>
      <w:proofErr w:type="spellEnd"/>
      <w:r w:rsidRPr="00EC6EF6">
        <w:rPr>
          <w:rFonts w:ascii="Kristen ITC" w:hAnsi="Kristen ITC"/>
          <w:sz w:val="24"/>
          <w:szCs w:val="24"/>
        </w:rPr>
        <w:t xml:space="preserve">, </w:t>
      </w:r>
      <w:proofErr w:type="spellStart"/>
      <w:r w:rsidRPr="00EC6EF6">
        <w:rPr>
          <w:rFonts w:ascii="Kristen ITC" w:hAnsi="Kristen ITC"/>
          <w:sz w:val="24"/>
          <w:szCs w:val="24"/>
        </w:rPr>
        <w:t>fisheries</w:t>
      </w:r>
      <w:proofErr w:type="spellEnd"/>
      <w:r w:rsidRPr="00EC6EF6">
        <w:rPr>
          <w:rFonts w:ascii="Kristen ITC" w:hAnsi="Kristen ITC"/>
          <w:sz w:val="24"/>
          <w:szCs w:val="24"/>
        </w:rPr>
        <w:t xml:space="preserve">, </w:t>
      </w:r>
      <w:proofErr w:type="spellStart"/>
      <w:r w:rsidRPr="00EC6EF6">
        <w:rPr>
          <w:rFonts w:ascii="Kristen ITC" w:hAnsi="Kristen ITC"/>
          <w:sz w:val="24"/>
          <w:szCs w:val="24"/>
        </w:rPr>
        <w:t>forestry</w:t>
      </w:r>
      <w:proofErr w:type="spellEnd"/>
      <w:r w:rsidRPr="00EC6EF6">
        <w:rPr>
          <w:rFonts w:ascii="Kristen ITC" w:hAnsi="Kristen ITC"/>
          <w:sz w:val="24"/>
          <w:szCs w:val="24"/>
        </w:rPr>
        <w:t xml:space="preserve">, </w:t>
      </w:r>
      <w:proofErr w:type="spellStart"/>
      <w:r w:rsidRPr="00EC6EF6">
        <w:rPr>
          <w:rFonts w:ascii="Kristen ITC" w:hAnsi="Kristen ITC"/>
          <w:sz w:val="24"/>
          <w:szCs w:val="24"/>
        </w:rPr>
        <w:t>customs</w:t>
      </w:r>
      <w:proofErr w:type="spellEnd"/>
      <w:r w:rsidRPr="00EC6EF6">
        <w:rPr>
          <w:rFonts w:ascii="Kristen ITC" w:hAnsi="Kristen ITC"/>
          <w:sz w:val="24"/>
          <w:szCs w:val="24"/>
        </w:rPr>
        <w:t xml:space="preserve"> e, da ultimo, sport), per una sempre più incisiva lotta alla corruzione nei settori pubblico e privato, nonché per la trasparenza nei rapporti tra imprese e Governi. A completamento si richiamano anche le 40 Raccomandazioni del GAFI che attribuiscono particolare rilievo al rafforzamento dei presidi relativi alle persone politicamente esposte (PEP) e dettano standard stringenti in materia di trasparenza delle società e dei trust, al fine di identificare i titolari effettivi e contrastare l’utilizzo illecito dei veicoli societari.  Dai tavoli di cooperazione multilaterale instaurati presso l’OCSE e dalle raccomandazioni e linee guida di orientamento generale in essi prodotti giungono all’Italia importanti sollecitazioni. L’OCSE ha infatti da anni attivato gruppi di lavoro e comitati sui temi, tra gli altri, dell’integrità, della trasparenza, dell’anticorruzione e degli appalti pubblici, nell’ambito dei quali periodicamente vengono elaborati con il contributo di tutti i Paesi aderenti e dei delegati partecipanti, documenti che cristallizzano esperienze di successo e forniscono indicazioni metodologiche e pratiche per favorire la convergenza su standard e best </w:t>
      </w:r>
      <w:proofErr w:type="spellStart"/>
      <w:r w:rsidRPr="00EC6EF6">
        <w:rPr>
          <w:rFonts w:ascii="Kristen ITC" w:hAnsi="Kristen ITC"/>
          <w:sz w:val="24"/>
          <w:szCs w:val="24"/>
        </w:rPr>
        <w:t>practices</w:t>
      </w:r>
      <w:proofErr w:type="spellEnd"/>
      <w:r w:rsidRPr="00EC6EF6">
        <w:rPr>
          <w:rFonts w:ascii="Kristen ITC" w:hAnsi="Kristen ITC"/>
          <w:sz w:val="24"/>
          <w:szCs w:val="24"/>
        </w:rPr>
        <w:t xml:space="preserve"> internazionalmente riconosciuti. È il caso ad esempio della </w:t>
      </w:r>
      <w:proofErr w:type="spellStart"/>
      <w:r w:rsidRPr="00EC6EF6">
        <w:rPr>
          <w:rFonts w:ascii="Kristen ITC" w:hAnsi="Kristen ITC"/>
          <w:sz w:val="24"/>
          <w:szCs w:val="24"/>
        </w:rPr>
        <w:t>Recommendation</w:t>
      </w:r>
      <w:proofErr w:type="spellEnd"/>
      <w:r w:rsidRPr="00EC6EF6">
        <w:rPr>
          <w:rFonts w:ascii="Kristen ITC" w:hAnsi="Kristen ITC"/>
          <w:sz w:val="24"/>
          <w:szCs w:val="24"/>
        </w:rPr>
        <w:t xml:space="preserve"> on Public </w:t>
      </w:r>
      <w:proofErr w:type="spellStart"/>
      <w:r w:rsidRPr="00EC6EF6">
        <w:rPr>
          <w:rFonts w:ascii="Kristen ITC" w:hAnsi="Kristen ITC"/>
          <w:sz w:val="24"/>
          <w:szCs w:val="24"/>
        </w:rPr>
        <w:t>Integrity</w:t>
      </w:r>
      <w:proofErr w:type="spellEnd"/>
      <w:r w:rsidRPr="00EC6EF6">
        <w:rPr>
          <w:rFonts w:ascii="Kristen ITC" w:hAnsi="Kristen ITC"/>
          <w:sz w:val="24"/>
          <w:szCs w:val="24"/>
        </w:rPr>
        <w:t xml:space="preserve"> (la cui adozione è prevista per l’autunno del 2016) destinata a sostituire la </w:t>
      </w:r>
      <w:proofErr w:type="spellStart"/>
      <w:r w:rsidRPr="00EC6EF6">
        <w:rPr>
          <w:rFonts w:ascii="Kristen ITC" w:hAnsi="Kristen ITC"/>
          <w:sz w:val="24"/>
          <w:szCs w:val="24"/>
        </w:rPr>
        <w:t>Recommendation</w:t>
      </w:r>
      <w:proofErr w:type="spellEnd"/>
      <w:r w:rsidRPr="00EC6EF6">
        <w:rPr>
          <w:rFonts w:ascii="Kristen ITC" w:hAnsi="Kristen ITC"/>
          <w:sz w:val="24"/>
          <w:szCs w:val="24"/>
        </w:rPr>
        <w:t xml:space="preserve"> on </w:t>
      </w:r>
      <w:proofErr w:type="spellStart"/>
      <w:r w:rsidRPr="00EC6EF6">
        <w:rPr>
          <w:rFonts w:ascii="Kristen ITC" w:hAnsi="Kristen ITC"/>
          <w:sz w:val="24"/>
          <w:szCs w:val="24"/>
        </w:rPr>
        <w:t>Improving</w:t>
      </w:r>
      <w:proofErr w:type="spellEnd"/>
      <w:r w:rsidRPr="00EC6EF6">
        <w:rPr>
          <w:rFonts w:ascii="Kristen ITC" w:hAnsi="Kristen ITC"/>
          <w:sz w:val="24"/>
          <w:szCs w:val="24"/>
        </w:rPr>
        <w:t xml:space="preserve"> </w:t>
      </w:r>
      <w:proofErr w:type="spellStart"/>
      <w:r w:rsidRPr="00EC6EF6">
        <w:rPr>
          <w:rFonts w:ascii="Kristen ITC" w:hAnsi="Kristen ITC"/>
          <w:sz w:val="24"/>
          <w:szCs w:val="24"/>
        </w:rPr>
        <w:t>Ethical</w:t>
      </w:r>
      <w:proofErr w:type="spellEnd"/>
      <w:r w:rsidRPr="00EC6EF6">
        <w:rPr>
          <w:rFonts w:ascii="Kristen ITC" w:hAnsi="Kristen ITC"/>
          <w:sz w:val="24"/>
          <w:szCs w:val="24"/>
        </w:rPr>
        <w:t xml:space="preserve"> </w:t>
      </w:r>
      <w:proofErr w:type="spellStart"/>
      <w:r w:rsidRPr="00EC6EF6">
        <w:rPr>
          <w:rFonts w:ascii="Kristen ITC" w:hAnsi="Kristen ITC"/>
          <w:sz w:val="24"/>
          <w:szCs w:val="24"/>
        </w:rPr>
        <w:t>Conduct</w:t>
      </w:r>
      <w:proofErr w:type="spellEnd"/>
      <w:r w:rsidRPr="00EC6EF6">
        <w:rPr>
          <w:rFonts w:ascii="Kristen ITC" w:hAnsi="Kristen ITC"/>
          <w:sz w:val="24"/>
          <w:szCs w:val="24"/>
        </w:rPr>
        <w:t xml:space="preserve"> in the Public Service (1998), sviluppandone ulteriormente i contenuti e rafforzando il presidio dei temi </w:t>
      </w:r>
      <w:r w:rsidRPr="00EC6EF6">
        <w:rPr>
          <w:rFonts w:ascii="Kristen ITC" w:hAnsi="Kristen ITC"/>
          <w:sz w:val="24"/>
          <w:szCs w:val="24"/>
        </w:rPr>
        <w:lastRenderedPageBreak/>
        <w:t xml:space="preserve">dell’integrità e della trasparenza, portando a frutto le più recenti esperienze e lezioni apprese a livello internazionale nel settore. Nel </w:t>
      </w:r>
      <w:proofErr w:type="spellStart"/>
      <w:r w:rsidRPr="00EC6EF6">
        <w:rPr>
          <w:rFonts w:ascii="Kristen ITC" w:hAnsi="Kristen ITC"/>
          <w:sz w:val="24"/>
          <w:szCs w:val="24"/>
        </w:rPr>
        <w:t>draft</w:t>
      </w:r>
      <w:proofErr w:type="spellEnd"/>
      <w:r w:rsidRPr="00EC6EF6">
        <w:rPr>
          <w:rFonts w:ascii="Kristen ITC" w:hAnsi="Kristen ITC"/>
          <w:sz w:val="24"/>
          <w:szCs w:val="24"/>
        </w:rPr>
        <w:t xml:space="preserve"> del documento all’esito della consultazione pubblica si sottolinea l’imprescindibile necessità di garantire l’integrità di tutti i processi e le attività pubbliche dei Paesi OCSE, a tutti i livelli di governo, da perseguire anche attraverso i principi e le indicazioni contenute nelle Raccomandazioni. Esse riconoscono la necessità di prevedere in ogni contesto nazionale un “sistema di integrità” generale nell’ambito del quale sviluppare “sotto-sistemi di integrità” specifici.  Si raccomanda inoltre di sviluppare un approccio strategico, che delinei gli obiettivi e le priorità nella gestione dei rischi relativi a irregolarità, corruzione, frodi e illegalità in generale. La gestione dei rischi dovrebbe portare in ciascun settore, e all’interno di esso in particolare per i processi identificati come critici, alla predisposizione di segnali di avvertimento – le c.d. </w:t>
      </w:r>
      <w:proofErr w:type="spellStart"/>
      <w:r w:rsidRPr="00EC6EF6">
        <w:rPr>
          <w:rFonts w:ascii="Kristen ITC" w:hAnsi="Kristen ITC"/>
          <w:sz w:val="24"/>
          <w:szCs w:val="24"/>
        </w:rPr>
        <w:t>red</w:t>
      </w:r>
      <w:proofErr w:type="spellEnd"/>
      <w:r w:rsidRPr="00EC6EF6">
        <w:rPr>
          <w:rFonts w:ascii="Kristen ITC" w:hAnsi="Kristen ITC"/>
          <w:sz w:val="24"/>
          <w:szCs w:val="24"/>
        </w:rPr>
        <w:t xml:space="preserve"> </w:t>
      </w:r>
      <w:proofErr w:type="spellStart"/>
      <w:r w:rsidRPr="00EC6EF6">
        <w:rPr>
          <w:rFonts w:ascii="Kristen ITC" w:hAnsi="Kristen ITC"/>
          <w:sz w:val="24"/>
          <w:szCs w:val="24"/>
        </w:rPr>
        <w:t>flags</w:t>
      </w:r>
      <w:proofErr w:type="spellEnd"/>
      <w:r w:rsidRPr="00EC6EF6">
        <w:rPr>
          <w:rFonts w:ascii="Kristen ITC" w:hAnsi="Kristen ITC"/>
          <w:sz w:val="24"/>
          <w:szCs w:val="24"/>
        </w:rPr>
        <w:t xml:space="preserve"> – che permettano di monitorarli efficacemente per prevenire la corruzione e le illegalità. Anche la </w:t>
      </w:r>
      <w:proofErr w:type="spellStart"/>
      <w:r w:rsidRPr="00EC6EF6">
        <w:rPr>
          <w:rFonts w:ascii="Kristen ITC" w:hAnsi="Kristen ITC"/>
          <w:sz w:val="24"/>
          <w:szCs w:val="24"/>
        </w:rPr>
        <w:t>Recommendation</w:t>
      </w:r>
      <w:proofErr w:type="spellEnd"/>
      <w:r w:rsidRPr="00EC6EF6">
        <w:rPr>
          <w:rFonts w:ascii="Kristen ITC" w:hAnsi="Kristen ITC"/>
          <w:sz w:val="24"/>
          <w:szCs w:val="24"/>
        </w:rPr>
        <w:t xml:space="preserve"> on Public </w:t>
      </w:r>
      <w:proofErr w:type="spellStart"/>
      <w:r w:rsidRPr="00EC6EF6">
        <w:rPr>
          <w:rFonts w:ascii="Kristen ITC" w:hAnsi="Kristen ITC"/>
          <w:sz w:val="24"/>
          <w:szCs w:val="24"/>
        </w:rPr>
        <w:t>Procurement</w:t>
      </w:r>
      <w:proofErr w:type="spellEnd"/>
      <w:r w:rsidRPr="00EC6EF6">
        <w:rPr>
          <w:rFonts w:ascii="Kristen ITC" w:hAnsi="Kristen ITC"/>
          <w:sz w:val="24"/>
          <w:szCs w:val="24"/>
        </w:rPr>
        <w:t xml:space="preserve"> del 2015, sebbene focalizzata sull’ambito specifico degli appalti pubblici, delinea un più generale approccio in cui viene raccomandato l’utilizzo dell’analisi dei rischi per orientare le misure di prevenzione della corruzione e di promozione dell’integrità per settori e ambiti specifici dei diversi livelli di governo e amministrazione territoriale. Insieme alla trasparenza, alla piena accessibilità ai dati e alle informazioni sulle attività e sull’uso delle risorse pubbliche, alle procedure e le pratiche promosse per favorire la partecipazione degli stakeholder, questa misura è un </w:t>
      </w:r>
      <w:proofErr w:type="spellStart"/>
      <w:r w:rsidRPr="00EC6EF6">
        <w:rPr>
          <w:rFonts w:ascii="Kristen ITC" w:hAnsi="Kristen ITC"/>
          <w:sz w:val="24"/>
          <w:szCs w:val="24"/>
        </w:rPr>
        <w:t>leit</w:t>
      </w:r>
      <w:proofErr w:type="spellEnd"/>
      <w:r w:rsidRPr="00EC6EF6">
        <w:rPr>
          <w:rFonts w:ascii="Kristen ITC" w:hAnsi="Kristen ITC"/>
          <w:sz w:val="24"/>
          <w:szCs w:val="24"/>
        </w:rPr>
        <w:t xml:space="preserve"> </w:t>
      </w:r>
      <w:proofErr w:type="spellStart"/>
      <w:r w:rsidRPr="00EC6EF6">
        <w:rPr>
          <w:rFonts w:ascii="Kristen ITC" w:hAnsi="Kristen ITC"/>
          <w:sz w:val="24"/>
          <w:szCs w:val="24"/>
        </w:rPr>
        <w:t>motiv</w:t>
      </w:r>
      <w:proofErr w:type="spellEnd"/>
      <w:r w:rsidRPr="00EC6EF6">
        <w:rPr>
          <w:rFonts w:ascii="Kristen ITC" w:hAnsi="Kristen ITC"/>
          <w:sz w:val="24"/>
          <w:szCs w:val="24"/>
        </w:rPr>
        <w:t xml:space="preserve"> della produzione documentale in ambito OCSE. Nella stessa prospettiva si situano gli High Level </w:t>
      </w:r>
      <w:proofErr w:type="spellStart"/>
      <w:r w:rsidRPr="00EC6EF6">
        <w:rPr>
          <w:rFonts w:ascii="Kristen ITC" w:hAnsi="Kristen ITC"/>
          <w:sz w:val="24"/>
          <w:szCs w:val="24"/>
        </w:rPr>
        <w:t>Principles</w:t>
      </w:r>
      <w:proofErr w:type="spellEnd"/>
      <w:r w:rsidRPr="00EC6EF6">
        <w:rPr>
          <w:rFonts w:ascii="Kristen ITC" w:hAnsi="Kristen ITC"/>
          <w:sz w:val="24"/>
          <w:szCs w:val="24"/>
        </w:rPr>
        <w:t xml:space="preserve"> per l’integrità, la trasparenza e i controlli efficaci di grandi eventi e delle relative infrastrutture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3 </w:t>
      </w:r>
      <w:proofErr w:type="spellStart"/>
      <w:r w:rsidRPr="00EC6EF6">
        <w:rPr>
          <w:rFonts w:ascii="Kristen ITC" w:hAnsi="Kristen ITC"/>
          <w:sz w:val="24"/>
          <w:szCs w:val="24"/>
        </w:rPr>
        <w:t>Corruption</w:t>
      </w:r>
      <w:proofErr w:type="spellEnd"/>
      <w:r w:rsidRPr="00EC6EF6">
        <w:rPr>
          <w:rFonts w:ascii="Kristen ITC" w:hAnsi="Kristen ITC"/>
          <w:sz w:val="24"/>
          <w:szCs w:val="24"/>
        </w:rPr>
        <w:t>-in-Public-</w:t>
      </w:r>
      <w:proofErr w:type="spellStart"/>
      <w:r w:rsidRPr="00EC6EF6">
        <w:rPr>
          <w:rFonts w:ascii="Kristen ITC" w:hAnsi="Kristen ITC"/>
          <w:sz w:val="24"/>
          <w:szCs w:val="24"/>
        </w:rPr>
        <w:t>Procurement</w:t>
      </w:r>
      <w:proofErr w:type="spellEnd"/>
      <w:r w:rsidRPr="00EC6EF6">
        <w:rPr>
          <w:rFonts w:ascii="Kristen ITC" w:hAnsi="Kristen ITC"/>
          <w:sz w:val="24"/>
          <w:szCs w:val="24"/>
        </w:rPr>
        <w:t xml:space="preserve"> pubblicato il 4 maggio 2016.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8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proofErr w:type="gramStart"/>
      <w:r w:rsidRPr="00EC6EF6">
        <w:rPr>
          <w:rFonts w:ascii="Kristen ITC" w:hAnsi="Kristen ITC"/>
          <w:sz w:val="24"/>
          <w:szCs w:val="24"/>
        </w:rPr>
        <w:t>elaborati</w:t>
      </w:r>
      <w:proofErr w:type="gramEnd"/>
      <w:r w:rsidRPr="00EC6EF6">
        <w:rPr>
          <w:rFonts w:ascii="Kristen ITC" w:hAnsi="Kristen ITC"/>
          <w:sz w:val="24"/>
          <w:szCs w:val="24"/>
        </w:rPr>
        <w:t xml:space="preserve"> da OCSE e ANAC (2015) sulla base della comune esperienza di lavoro per EXPO Milano 2015: da essi, infatti, sono state tratte lezioni e principi generali in tema di trasparenza e </w:t>
      </w:r>
      <w:proofErr w:type="spellStart"/>
      <w:r w:rsidRPr="00EC6EF6">
        <w:rPr>
          <w:rFonts w:ascii="Kristen ITC" w:hAnsi="Kristen ITC"/>
          <w:sz w:val="24"/>
          <w:szCs w:val="24"/>
        </w:rPr>
        <w:t>accountability</w:t>
      </w:r>
      <w:proofErr w:type="spellEnd"/>
      <w:r w:rsidRPr="00EC6EF6">
        <w:rPr>
          <w:rFonts w:ascii="Kristen ITC" w:hAnsi="Kristen ITC"/>
          <w:sz w:val="24"/>
          <w:szCs w:val="24"/>
        </w:rPr>
        <w:t xml:space="preserve">, che possono rappresentare un modello a disposizione della comunità internazionale e degli attori che operano ai fini della realizzazione di grandi eventi e delle relative infrastrutture. Nel documento riferito </w:t>
      </w:r>
      <w:r w:rsidRPr="00EC6EF6">
        <w:rPr>
          <w:rFonts w:ascii="Kristen ITC" w:hAnsi="Kristen ITC"/>
          <w:sz w:val="24"/>
          <w:szCs w:val="24"/>
        </w:rPr>
        <w:lastRenderedPageBreak/>
        <w:t xml:space="preserve">alle grandi infrastrutture e eventi, ma </w:t>
      </w:r>
      <w:proofErr w:type="spellStart"/>
      <w:r w:rsidRPr="00EC6EF6">
        <w:rPr>
          <w:rFonts w:ascii="Kristen ITC" w:hAnsi="Kristen ITC"/>
          <w:sz w:val="24"/>
          <w:szCs w:val="24"/>
        </w:rPr>
        <w:t>mutatis</w:t>
      </w:r>
      <w:proofErr w:type="spellEnd"/>
      <w:r w:rsidRPr="00EC6EF6">
        <w:rPr>
          <w:rFonts w:ascii="Kristen ITC" w:hAnsi="Kristen ITC"/>
          <w:sz w:val="24"/>
          <w:szCs w:val="24"/>
        </w:rPr>
        <w:t xml:space="preserve"> </w:t>
      </w:r>
      <w:proofErr w:type="spellStart"/>
      <w:r w:rsidRPr="00EC6EF6">
        <w:rPr>
          <w:rFonts w:ascii="Kristen ITC" w:hAnsi="Kristen ITC"/>
          <w:sz w:val="24"/>
          <w:szCs w:val="24"/>
        </w:rPr>
        <w:t>mutandis</w:t>
      </w:r>
      <w:proofErr w:type="spellEnd"/>
      <w:r w:rsidRPr="00EC6EF6">
        <w:rPr>
          <w:rFonts w:ascii="Kristen ITC" w:hAnsi="Kristen ITC"/>
          <w:sz w:val="24"/>
          <w:szCs w:val="24"/>
        </w:rPr>
        <w:t xml:space="preserve"> a ogni ambito di attività pubblica, la trasparenza è concepita come il principio fondamentale per ottenere la fiducia pubblica e per assicurare l’</w:t>
      </w:r>
      <w:proofErr w:type="spellStart"/>
      <w:r w:rsidRPr="00EC6EF6">
        <w:rPr>
          <w:rFonts w:ascii="Kristen ITC" w:hAnsi="Kristen ITC"/>
          <w:sz w:val="24"/>
          <w:szCs w:val="24"/>
        </w:rPr>
        <w:t>accountability</w:t>
      </w:r>
      <w:proofErr w:type="spellEnd"/>
      <w:r w:rsidRPr="00EC6EF6">
        <w:rPr>
          <w:rFonts w:ascii="Kristen ITC" w:hAnsi="Kristen ITC"/>
          <w:sz w:val="24"/>
          <w:szCs w:val="24"/>
        </w:rPr>
        <w:t xml:space="preserve"> delle attività. L’apertura verso il pubblico può aiutare a rispondere all’esigenza di informazione della società civile e a ridurre in questo modo possibili tensioni, oltre a coinvolgere i cittadini in una forma di controllo sociale diffuso. «L’uso dei siti web, per esempio, si rivela un mezzo molto utile per veicolare tra gli </w:t>
      </w:r>
      <w:proofErr w:type="spellStart"/>
      <w:r w:rsidRPr="00EC6EF6">
        <w:rPr>
          <w:rFonts w:ascii="Kristen ITC" w:hAnsi="Kristen ITC"/>
          <w:sz w:val="24"/>
          <w:szCs w:val="24"/>
        </w:rPr>
        <w:t>stakeholders</w:t>
      </w:r>
      <w:proofErr w:type="spellEnd"/>
      <w:r w:rsidRPr="00EC6EF6">
        <w:rPr>
          <w:rFonts w:ascii="Kristen ITC" w:hAnsi="Kristen ITC"/>
          <w:sz w:val="24"/>
          <w:szCs w:val="24"/>
        </w:rPr>
        <w:t xml:space="preserve"> ed i cittadini informazioni sugli appalti pubblici, sullo stato di evoluzione dei progetti, sul modello di </w:t>
      </w:r>
      <w:proofErr w:type="spellStart"/>
      <w:r w:rsidRPr="00EC6EF6">
        <w:rPr>
          <w:rFonts w:ascii="Kristen ITC" w:hAnsi="Kristen ITC"/>
          <w:sz w:val="24"/>
          <w:szCs w:val="24"/>
        </w:rPr>
        <w:t>governance</w:t>
      </w:r>
      <w:proofErr w:type="spellEnd"/>
      <w:r w:rsidRPr="00EC6EF6">
        <w:rPr>
          <w:rFonts w:ascii="Kristen ITC" w:hAnsi="Kristen ITC"/>
          <w:sz w:val="24"/>
          <w:szCs w:val="24"/>
        </w:rPr>
        <w:t xml:space="preserve">, etc., così da permettere anche l’interoperabilità con il mondo accademico o con altre organizzazioni. Si raccomanda la pubblicazione dei dati in formato aperto e in sezioni ben evidenziate dei siti web e strutturate in modo standardizzato, affinché le informazioni siano facilmente accessibili e efficacemente riutilizzabili da parte degli </w:t>
      </w:r>
      <w:proofErr w:type="spellStart"/>
      <w:r w:rsidRPr="00EC6EF6">
        <w:rPr>
          <w:rFonts w:ascii="Kristen ITC" w:hAnsi="Kristen ITC"/>
          <w:sz w:val="24"/>
          <w:szCs w:val="24"/>
        </w:rPr>
        <w:t>stakeholders</w:t>
      </w:r>
      <w:proofErr w:type="spellEnd"/>
      <w:r w:rsidRPr="00EC6EF6">
        <w:rPr>
          <w:rFonts w:ascii="Kristen ITC" w:hAnsi="Kristen ITC"/>
          <w:sz w:val="24"/>
          <w:szCs w:val="24"/>
        </w:rPr>
        <w:t xml:space="preserve">». Anche il Gruppo di lavoro dell’OCSE </w:t>
      </w:r>
      <w:proofErr w:type="spellStart"/>
      <w:r w:rsidRPr="00EC6EF6">
        <w:rPr>
          <w:rFonts w:ascii="Kristen ITC" w:hAnsi="Kristen ITC"/>
          <w:sz w:val="24"/>
          <w:szCs w:val="24"/>
        </w:rPr>
        <w:t>Working</w:t>
      </w:r>
      <w:proofErr w:type="spellEnd"/>
      <w:r w:rsidRPr="00EC6EF6">
        <w:rPr>
          <w:rFonts w:ascii="Kristen ITC" w:hAnsi="Kristen ITC"/>
          <w:sz w:val="24"/>
          <w:szCs w:val="24"/>
        </w:rPr>
        <w:t xml:space="preserve"> Group on </w:t>
      </w:r>
      <w:proofErr w:type="spellStart"/>
      <w:r w:rsidRPr="00EC6EF6">
        <w:rPr>
          <w:rFonts w:ascii="Kristen ITC" w:hAnsi="Kristen ITC"/>
          <w:sz w:val="24"/>
          <w:szCs w:val="24"/>
        </w:rPr>
        <w:t>Bribery</w:t>
      </w:r>
      <w:proofErr w:type="spellEnd"/>
      <w:r w:rsidRPr="00EC6EF6">
        <w:rPr>
          <w:rFonts w:ascii="Kristen ITC" w:hAnsi="Kristen ITC"/>
          <w:sz w:val="24"/>
          <w:szCs w:val="24"/>
        </w:rPr>
        <w:t xml:space="preserve"> (di seguito WGB) – competente sulla corruzione nelle operazioni economiche internazionali – ha espresso, in sede di Conferenza Ministeriale (16 marzo 2016) un’importante dichiarazione con specifici riferimenti alla trasparenza dell’azione amministrativa e all’integrità negli appalti pubblici, soprattutto in occasione dei grandi eventi. Venendo all’ambito della cooperazione internazionale interessata a livello europeo, l’Addendum al Rapporto di conformità sull’Italia per il primo e secondo ciclo di valutazione congiunti adottato nel 2013 dal Gruppo di Stati contro la Corruzione (GRECO), nell’ambito del Consiglio d’Europa, affronta in modo specifico il tema della trasparenza e dell’accesso ai dati e documenti rilevanti dell’azione amministrativa negli enti locali, raccomandando l’apertura alle richieste di conoscenza dell’azione amministrativa di cittadini e portatori di interesse e una maggiore uniformità nell’applicazione delle norme in materia di trasparenza e accesso civico negli enti locali.  Anche dall’ambito dell’Unione europea giungono importanti sollecitazioni. Nella Relazione della Commissione europea (COM (2014) 38 </w:t>
      </w:r>
      <w:proofErr w:type="spellStart"/>
      <w:r w:rsidRPr="00EC6EF6">
        <w:rPr>
          <w:rFonts w:ascii="Kristen ITC" w:hAnsi="Kristen ITC"/>
          <w:sz w:val="24"/>
          <w:szCs w:val="24"/>
        </w:rPr>
        <w:t>final</w:t>
      </w:r>
      <w:proofErr w:type="spellEnd"/>
      <w:r w:rsidRPr="00EC6EF6">
        <w:rPr>
          <w:rFonts w:ascii="Kristen ITC" w:hAnsi="Kristen ITC"/>
          <w:sz w:val="24"/>
          <w:szCs w:val="24"/>
        </w:rPr>
        <w:t xml:space="preserve">, ANNEX 12), si sottolinea la necessità che l’ordinamento italiano presidi in modo efficace gli enti locali e i livelli di governo territoriale attraverso misure per la prevenzione della corruzione che siano in grado di promuovere la trasparenza e di contrastare i conflitti di interesse, le infiltrazioni della criminalità organizzata, la corruzione e il malaffare, sia nelle cariche elettive sia nell’apparato amministrativo. Si raccomanda inoltre di garantire un quadro uniforme per i controlli e la verifica dell’uso delle risorse pubbliche a livello regionale e locale, soprattutto in materia di appalti pubblici.  Una particolare enfasi è posta sul tema della trasparenza ad ogni livello di governo e per tutte le pubbliche amministrazioni. In particolare la Commissione si sofferma sull’esigenza di rendere </w:t>
      </w:r>
      <w:r w:rsidRPr="00EC6EF6">
        <w:rPr>
          <w:rFonts w:ascii="Kristen ITC" w:hAnsi="Kristen ITC"/>
          <w:sz w:val="24"/>
          <w:szCs w:val="24"/>
        </w:rPr>
        <w:lastRenderedPageBreak/>
        <w:t xml:space="preserve">più trasparenti gli appalti pubblici, prima e dopo l’aggiudicazione, come richiesto peraltro dalle Raccomandazioni del 2013 e del 2014 del Consiglio europeo sul programma nazionale di riforma dell'Italia (cfr. COM (2013) 362 </w:t>
      </w:r>
      <w:proofErr w:type="spellStart"/>
      <w:r w:rsidRPr="00EC6EF6">
        <w:rPr>
          <w:rFonts w:ascii="Kristen ITC" w:hAnsi="Kristen ITC"/>
          <w:sz w:val="24"/>
          <w:szCs w:val="24"/>
        </w:rPr>
        <w:t>final</w:t>
      </w:r>
      <w:proofErr w:type="spellEnd"/>
      <w:r w:rsidRPr="00EC6EF6">
        <w:rPr>
          <w:rFonts w:ascii="Kristen ITC" w:hAnsi="Kristen ITC"/>
          <w:sz w:val="24"/>
          <w:szCs w:val="24"/>
        </w:rPr>
        <w:t xml:space="preserve">; COM (2014) 413 </w:t>
      </w:r>
      <w:proofErr w:type="spellStart"/>
      <w:r w:rsidRPr="00EC6EF6">
        <w:rPr>
          <w:rFonts w:ascii="Kristen ITC" w:hAnsi="Kristen ITC"/>
          <w:sz w:val="24"/>
          <w:szCs w:val="24"/>
        </w:rPr>
        <w:t>final</w:t>
      </w:r>
      <w:proofErr w:type="spellEnd"/>
      <w:r w:rsidRPr="00EC6EF6">
        <w:rPr>
          <w:rFonts w:ascii="Kristen ITC" w:hAnsi="Kristen ITC"/>
          <w:sz w:val="24"/>
          <w:szCs w:val="24"/>
        </w:rPr>
        <w:t xml:space="preserve">), anche attraverso l’obbligo per le strutture amministrative di pubblicare online i conti e i bilanci annuali, insieme alla ripartizione dei costi per i contratti pubblici di opere, forniture e servizi e all’apertura del mercato dei servizi pubblici locali. Nel generale capitolo in cui viene effettuata una ricognizione sui settori maggiormente esposti alla corruzione in tutti gli Stati Membri, la Relazione ha anche raccomandato l’applicazione sistematica dell’analisi dei rischi per meglio individuare le aree in cui concentrare l’attenzione e gli sforzi per prevenire la corruzione e disegnare strategie specifiche per il contrasto della corruzione. Tra i settori individuati come particolarmente a rischio di corruzione sono indicati quello della pianificazione e dello sviluppo urbano e ambientale nonché quello della sanità, con riguardo soprattutto agli appalti e ai rapporti con le industrie farmaceutiche.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9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2. Esiti della valutazione dei PTPC 2016-2018 Nel corso del 2016 è stato individuato un campione ristretto di amministrazioni pubbliche (198) al fine di analizzare i PTPC 2016-2018 adottati. Il primo dato che emerge è la percentuale significativa di soggetti che, almeno fino al mese di aprile 2016, risultavano non aver adottato il PTPC, pari al 31,8% del campione; in particolare, per i comuni non metropolitani la percentuale si attesta al 53,8%.  Il successivo </w:t>
      </w:r>
      <w:proofErr w:type="spellStart"/>
      <w:r w:rsidRPr="00EC6EF6">
        <w:rPr>
          <w:rFonts w:ascii="Kristen ITC" w:hAnsi="Kristen ITC"/>
          <w:sz w:val="24"/>
          <w:szCs w:val="24"/>
        </w:rPr>
        <w:t>ricampionamento</w:t>
      </w:r>
      <w:proofErr w:type="spellEnd"/>
      <w:r w:rsidRPr="00EC6EF6">
        <w:rPr>
          <w:rFonts w:ascii="Kristen ITC" w:hAnsi="Kristen ITC"/>
          <w:sz w:val="24"/>
          <w:szCs w:val="24"/>
        </w:rPr>
        <w:t xml:space="preserve"> per tipologia di amministrazione (ove possibile) ha permesso di individuare un ulteriore insieme di 186 amministrazioni; i PTPC da queste ultime adottati hanno costituito l’oggetto dell’analisi, con il duplice obiettivo di comprendere, alla luce dell’Aggiornamento 2015 al PNA, lo scostamento rispetto alle indicazioni ivi contenute, nonché il miglioramento dei documenti adottati rispetto al precedente monitoraggio. La metodologia di analisi dei PTPC è stata improntata a criteri qualitativi, piuttosto che quantitativi. Emerge un timido miglioramento dei livelli qualitativi dei PTPC, anche se l’analisi effettuata lascia intravedere ampi margini di miglioramento.  Si continuano, tra l’altro, a rilevare criticità in tutte le fasi del processo di gestione del rischio, così come nella </w:t>
      </w:r>
      <w:proofErr w:type="spellStart"/>
      <w:r w:rsidRPr="00EC6EF6">
        <w:rPr>
          <w:rFonts w:ascii="Kristen ITC" w:hAnsi="Kristen ITC"/>
          <w:sz w:val="24"/>
          <w:szCs w:val="24"/>
        </w:rPr>
        <w:t>governance</w:t>
      </w:r>
      <w:proofErr w:type="spellEnd"/>
      <w:r w:rsidRPr="00EC6EF6">
        <w:rPr>
          <w:rFonts w:ascii="Kristen ITC" w:hAnsi="Kristen ITC"/>
          <w:sz w:val="24"/>
          <w:szCs w:val="24"/>
        </w:rPr>
        <w:t xml:space="preserve"> generale del sistema e nella previsione, </w:t>
      </w:r>
      <w:r w:rsidRPr="00EC6EF6">
        <w:rPr>
          <w:rFonts w:ascii="Kristen ITC" w:hAnsi="Kristen ITC"/>
          <w:sz w:val="24"/>
          <w:szCs w:val="24"/>
        </w:rPr>
        <w:lastRenderedPageBreak/>
        <w:t xml:space="preserve">attuazione e monitoraggio delle misure, confermando una certa difficoltà nell’applicazione della normativa. In particolare, i principali risultati dell’analisi sono i </w:t>
      </w:r>
      <w:proofErr w:type="gramStart"/>
      <w:r w:rsidRPr="00EC6EF6">
        <w:rPr>
          <w:rFonts w:ascii="Kristen ITC" w:hAnsi="Kristen ITC"/>
          <w:sz w:val="24"/>
          <w:szCs w:val="24"/>
        </w:rPr>
        <w:t>seguenti:  Adozione</w:t>
      </w:r>
      <w:proofErr w:type="gramEnd"/>
      <w:r w:rsidRPr="00EC6EF6">
        <w:rPr>
          <w:rFonts w:ascii="Kristen ITC" w:hAnsi="Kristen ITC"/>
          <w:sz w:val="24"/>
          <w:szCs w:val="24"/>
        </w:rPr>
        <w:t xml:space="preserve"> del PTPC Per le amministrazioni del campione (che hanno adottato i PTPC 2016-2018) risulta che il 19,89% ha adottato anche la prima versione del PTPC 2013-2015; il 67,2% ha adottato la versione del PTPC 2014-2016; l’80,1% ha adottato la versione del PTPC 2015-2017. Da notare che tali dati si riferiscono non soltanto all’adozione ma anche alla pubblicazione sul sito istituzionale. Pertanto, si rileva una diffusa propensione all’aggiornamento dei PTPC, pur se con livelli qualitativi differenziati, da parte delle amministrazioni adempienti. Il coinvolgimento degli stakeholder interni ed esterni L’Aggiornamento 2015 al PNA sottolineava l’importanza di adottare i PTPC assicurando il pieno coinvolgimento di tutti i soggetti dell’amministrazione e degli stakeholder esterni, al fine di migliorare la strategia complessiva di prevenzione della corruzione dell’amministrazione. Sebbene ancora lontani dai livelli ottimali, i dati del monitoraggio vedono emergere un miglioramento significativo in termini di maggior coinvolgimento degli organi di indirizzo </w:t>
      </w:r>
      <w:proofErr w:type="spellStart"/>
      <w:r w:rsidRPr="00EC6EF6">
        <w:rPr>
          <w:rFonts w:ascii="Kristen ITC" w:hAnsi="Kristen ITC"/>
          <w:sz w:val="24"/>
          <w:szCs w:val="24"/>
        </w:rPr>
        <w:t>politicoamministrativo</w:t>
      </w:r>
      <w:proofErr w:type="spellEnd"/>
      <w:r w:rsidRPr="00EC6EF6">
        <w:rPr>
          <w:rFonts w:ascii="Kristen ITC" w:hAnsi="Kristen ITC"/>
          <w:sz w:val="24"/>
          <w:szCs w:val="24"/>
        </w:rPr>
        <w:t xml:space="preserve"> e/o degli uffici di diretta collaborazione (lo scorso anno nei PTPC non erano presenti indicazioni di questo tipo) e degli stakeholder interni ed esterni. Il ruolo del </w:t>
      </w:r>
      <w:proofErr w:type="gramStart"/>
      <w:r w:rsidRPr="00EC6EF6">
        <w:rPr>
          <w:rFonts w:ascii="Kristen ITC" w:hAnsi="Kristen ITC"/>
          <w:sz w:val="24"/>
          <w:szCs w:val="24"/>
        </w:rPr>
        <w:t>RPC  Nei</w:t>
      </w:r>
      <w:proofErr w:type="gramEnd"/>
      <w:r w:rsidRPr="00EC6EF6">
        <w:rPr>
          <w:rFonts w:ascii="Kristen ITC" w:hAnsi="Kristen ITC"/>
          <w:sz w:val="24"/>
          <w:szCs w:val="24"/>
        </w:rPr>
        <w:t xml:space="preserve"> PTPC analizzati continuano a permanere alcune criticità generalizzate, anche se si sottolinea l’impegno delle amministrazioni nel tentativo di una migliore declinazione ed interpretazione del ruolo del RPC rispetto alle peculiarità di ciascuna amministrazione. Una buona percentuale di amministrazioni ha meglio esplicitato i poteri di interlocuzione e di controllo (36,6% dei casi), la posizione di autonomia e indipendenza organizzativa del RPC e della struttura di supporto (8,6% dei casi), nonché l’attribuzione di un supporto conoscitivo e operativo riconosciuto al RPC (nel 32,3% dei casi). Il sistema di monitoraggio Il sistema di monitoraggio sull’implementazione del PTPC continua a essere una variabile particolarmente critica e un miglioramento di tale aspetto è necessario per assicurare l’efficacia del sistema di prevenzione della corruzione delle singole amministrazioni. Quasi la metà delle amministrazioni esaminate non vi fa riferimento (45,2%) e buona parte delle restanti amministrazioni lo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10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proofErr w:type="gramStart"/>
      <w:r w:rsidRPr="00EC6EF6">
        <w:rPr>
          <w:rFonts w:ascii="Kristen ITC" w:hAnsi="Kristen ITC"/>
          <w:sz w:val="24"/>
          <w:szCs w:val="24"/>
        </w:rPr>
        <w:lastRenderedPageBreak/>
        <w:t>esplicita</w:t>
      </w:r>
      <w:proofErr w:type="gramEnd"/>
      <w:r w:rsidRPr="00EC6EF6">
        <w:rPr>
          <w:rFonts w:ascii="Kristen ITC" w:hAnsi="Kristen ITC"/>
          <w:sz w:val="24"/>
          <w:szCs w:val="24"/>
        </w:rPr>
        <w:t xml:space="preserve"> ma in termini del tutto generici. Di contro, il 25,8% delle amministrazioni indica sia tempi che responsabili del monitoraggio e il restante 6% circa si divide tra quelle amministrazioni che esplicitano i tempi ma non i responsabili (1,6%) e quelle che indicano i responsabili ma non i tempi (4,3%). Analisi del contesto esterno Si è riscontrato un indubbio sforzo da parte delle amministrazioni analizzate nel rispondere positivamente alle indicazioni dell’Aggiornamento 2015 al PNA. È cresciuta in modo significativo la percentuale delle amministrazioni che ha effettuato l’analisi del contesto esterno. Inoltre, sembrano migliorare anche i livelli qualitativi di tale analisi. Se è vero che il 24,7% delle amministrazioni ha realizzato l’analisi del contesto esterno in un’ottica di mera </w:t>
      </w:r>
      <w:proofErr w:type="spellStart"/>
      <w:r w:rsidRPr="00EC6EF6">
        <w:rPr>
          <w:rFonts w:ascii="Kristen ITC" w:hAnsi="Kristen ITC"/>
          <w:sz w:val="24"/>
          <w:szCs w:val="24"/>
        </w:rPr>
        <w:t>compliance</w:t>
      </w:r>
      <w:proofErr w:type="spellEnd"/>
      <w:r w:rsidRPr="00EC6EF6">
        <w:rPr>
          <w:rFonts w:ascii="Kristen ITC" w:hAnsi="Kristen ITC"/>
          <w:sz w:val="24"/>
          <w:szCs w:val="24"/>
        </w:rPr>
        <w:t xml:space="preserve"> e, quindi, con dati poco significativi, il 19,9% ha realizzato tale analisi dando anche evidenza dell’impatto dei dati sul rischio corruttivo per la propria organizzazione. Il restante 9,1%, pur avendo utilizzato dati significativi, non li ha interpretati alla luce delle dinamiche del rischio corruttivo per la propria organizzazione. Analisi del contesto interno Con riferimento all’analisi del contesto interno, il precedente monitoraggio poneva l’accento quasi esclusivamente sull’analisi dei processi organizzativi. A seguito dell’emanazione dell’Aggiornamento 2015 al PNA, si è ribadita l’importanza di segnalare la complessità organizzativa dell’amministrazione in esame, attraverso l’esame della struttura organizzativa, dei ruoli e delle responsabilità interne, così come delle politiche, degli obiettivi e strategie dell’ente, anche utilizzando dati su eventi o ipotesi di reato verificatesi in passato o su procedure derivanti dagli esiti del controllo interno. In tal senso, il monitoraggio 2016 mostra come il 66% circa del campione di amministrazioni esaminate abbia segnalato nei propri PTPC 2016-2018 informazioni mirate alla comprensione della propria complessità organizzativa e l’8% circa ha utilizzato informazioni concernenti eventi o ipotesi di reato verificatesi in passato o su procedure derivanti dagli esiti del controllo interno. Con riferimento all’analisi (mappatura) dei processi organizzativi, focus del precedente monitoraggio, la situazione appare tendenzialmente stabile, non evidenziando particolari scostamenti tra i due monitoraggi. Nei PTPC analizzati, tendenzialmente, il numero medio di processi censiti per ciascuna area di rischio non supera le 10 unità, suggerendo un livello di analiticità piuttosto basso; a ciò si aggiunge, inoltre, che circa il 12% del campione ha individuato, per ciascun processo censito, sia le fasi sia i responsabili dell’attuazione, percentuale che aumenta al 19% circa, se si considera esclusivamente l’identificazione dei responsabili. Analisi e valutazione del rischio Il precedente rapporto di monitoraggio lasciava emergere un quadro di sostanziale inadeguatezza anche del cosiddetto </w:t>
      </w:r>
      <w:proofErr w:type="spellStart"/>
      <w:r w:rsidRPr="00EC6EF6">
        <w:rPr>
          <w:rFonts w:ascii="Kristen ITC" w:hAnsi="Kristen ITC"/>
          <w:sz w:val="24"/>
          <w:szCs w:val="24"/>
        </w:rPr>
        <w:t>risk</w:t>
      </w:r>
      <w:proofErr w:type="spellEnd"/>
      <w:r w:rsidRPr="00EC6EF6">
        <w:rPr>
          <w:rFonts w:ascii="Kristen ITC" w:hAnsi="Kristen ITC"/>
          <w:sz w:val="24"/>
          <w:szCs w:val="24"/>
        </w:rPr>
        <w:t xml:space="preserve"> </w:t>
      </w:r>
      <w:proofErr w:type="spellStart"/>
      <w:r w:rsidRPr="00EC6EF6">
        <w:rPr>
          <w:rFonts w:ascii="Kristen ITC" w:hAnsi="Kristen ITC"/>
          <w:sz w:val="24"/>
          <w:szCs w:val="24"/>
        </w:rPr>
        <w:t>assessment</w:t>
      </w:r>
      <w:proofErr w:type="spellEnd"/>
      <w:r w:rsidRPr="00EC6EF6">
        <w:rPr>
          <w:rFonts w:ascii="Kristen ITC" w:hAnsi="Kristen ITC"/>
          <w:sz w:val="24"/>
          <w:szCs w:val="24"/>
        </w:rPr>
        <w:t xml:space="preserve"> (analisi e valutazione del rischio). Il monitoraggio 2016 evidenzia un significativo </w:t>
      </w:r>
      <w:r w:rsidRPr="00EC6EF6">
        <w:rPr>
          <w:rFonts w:ascii="Kristen ITC" w:hAnsi="Kristen ITC"/>
          <w:sz w:val="24"/>
          <w:szCs w:val="24"/>
        </w:rPr>
        <w:lastRenderedPageBreak/>
        <w:t xml:space="preserve">miglioramento, con circa il 50% del campione che ha individuato gli eventi rischiosi per ciascun processo, di cui il 12% ha realizzato una puntuale analisi del rischio, attraverso l’identificazione delle loro cause, dato pressoché assente in precedenza. Anche con riferimento alla valutazione e ponderazione del rischio si evince, un seppur lieve, miglioramento. In particolare, si evidenzia un calo della percentuale di amministrazioni che non hanno effettuato alcun tipo di analisi, dal 31,5% dello scorso monitoraggio all’11% circa del monitoraggio 2016.  Misure di prevenzione Ancora critica, seppure in miglioramento, appare la fase relativa al trattamento del rischio, sia con riferimento all’individuazione delle misure sia alla loro programmazione. L’individuazione delle misure generali risulta prevalente rispetto a quelle specifiche, la cui presenza nei PTPC delle amministrazioni analizzate oscilla tra l’88,2% (codice di comportamento) e il 33,3% (sensibilizzazione e rapporto con la società civile). La programmazione delle misure generali ha registrato un certo livello di miglioramento, anche se in diversi PTPC risultano solo elencate e solo in una minoranza sono indicati tempi, responsabili,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11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proofErr w:type="gramStart"/>
      <w:r w:rsidRPr="00EC6EF6">
        <w:rPr>
          <w:rFonts w:ascii="Kristen ITC" w:hAnsi="Kristen ITC"/>
          <w:sz w:val="24"/>
          <w:szCs w:val="24"/>
        </w:rPr>
        <w:t>indicatori</w:t>
      </w:r>
      <w:proofErr w:type="gramEnd"/>
      <w:r w:rsidRPr="00EC6EF6">
        <w:rPr>
          <w:rFonts w:ascii="Kristen ITC" w:hAnsi="Kristen ITC"/>
          <w:sz w:val="24"/>
          <w:szCs w:val="24"/>
        </w:rPr>
        <w:t xml:space="preserve"> di monitoraggio e viene data evidenza della loro attuazione. Aumentano le amministrazioni che menzionano le misure specifiche, anche se è limitato il loro approfondimento. Approfondimento - Contratti pubblici Con riferimento alle indicazioni fornite con l’Aggiornamento 2015 al PNA, nella parte dedicata ai Contratti pubblici, i PTPC analizzati hanno presentato le maggiori criticità. In tal senso, la gran parte delle amministrazioni non ha effettuato l’autoanalisi organizzativa suggerita dall’Autorità. Riguardo all’analisi dei processi organizzativi, l’auspicata considerazione delle diverse fasi della gara risulta presente in una bassa percentuale di amministrazioni e oscilla tra il 25,8% (progettazione della gara) e il 18,3% (rendicontazione). Inoltre, anche la presenza di misure specifiche per le summenzionate fasi oscilla tra il 18,3% (progettazione della gara) e l’11,8% (rendicontazione). Appare evidente, quindi, la difficoltà delle amministrazioni di recepire tali indicazioni e la necessità di un periodo di tempo maggiore per l’adeguamento. Approfondimento - Sanità Anche la parte specifica sulla sanità risulta ancora lontana dal risultato atteso. Se si considerano le amministrazioni facenti parte del campione e interessate all’analisi, una bassa percentuale di ASL e Policlinici universitari hanno censito alcuni dei processi tipici delle amministrazioni </w:t>
      </w:r>
      <w:r w:rsidRPr="00EC6EF6">
        <w:rPr>
          <w:rFonts w:ascii="Kristen ITC" w:hAnsi="Kristen ITC"/>
          <w:sz w:val="24"/>
          <w:szCs w:val="24"/>
        </w:rPr>
        <w:lastRenderedPageBreak/>
        <w:t>del comparto (tra cui, attività libero professionale e liste di attesa per circa il 35%, attività conseguenti al decesso in ambito intraospedaliero, per circa il 28% delle amministrazioni campionate). Anche con riferimento alle misure specifiche suggerite dall’Aggiornamento 2015 al PNA nel focus sulla sanità, i livelli di adempimento sono sempre tendenzialmente bassi (comunque sempre inferiori al 40%). Dalla valutazione effettuata, l’Autorità ha tratto alcune indicazioni per la predisposizione del presente PNA.  In primo luogo, l’effetto tempo e, presumibilmente, anche le indicazioni contenute nell’Aggiornamento 2015 al PNA sembrano aver aiutato le amministrazioni a superare almeno alcune delle difficoltà sperimentate nelle precedenti annualit</w:t>
      </w:r>
      <w:r w:rsidRPr="00EC6EF6">
        <w:rPr>
          <w:rFonts w:ascii="Kristen ITC" w:hAnsi="Kristen ITC" w:cs="Kristen ITC"/>
          <w:sz w:val="24"/>
          <w:szCs w:val="24"/>
        </w:rPr>
        <w:t>à</w:t>
      </w:r>
      <w:r w:rsidRPr="00EC6EF6">
        <w:rPr>
          <w:rFonts w:ascii="Kristen ITC" w:hAnsi="Kristen ITC"/>
          <w:sz w:val="24"/>
          <w:szCs w:val="24"/>
        </w:rPr>
        <w:t xml:space="preserve"> in relazione all</w:t>
      </w:r>
      <w:r w:rsidRPr="00EC6EF6">
        <w:rPr>
          <w:rFonts w:ascii="Kristen ITC" w:hAnsi="Kristen ITC" w:cs="Kristen ITC"/>
          <w:sz w:val="24"/>
          <w:szCs w:val="24"/>
        </w:rPr>
        <w:t>’</w:t>
      </w:r>
      <w:r w:rsidRPr="00EC6EF6">
        <w:rPr>
          <w:rFonts w:ascii="Kristen ITC" w:hAnsi="Kristen ITC"/>
          <w:sz w:val="24"/>
          <w:szCs w:val="24"/>
        </w:rPr>
        <w:t xml:space="preserve">individuazione dei rischi di corruzione e alla capacità di collegarli adeguatamente ai processi organizzativi.  Ciò induce a valutare gli effetti della normativa anticorruzione in una prospettiva temporale ampia. La valenza di innovazione amministrativa che la normativa anticorruzione comporta e il cambio culturale ad essa connesso richiedono tempi medio lunghi, continuità e stabilità di scelte di fondo.  In questa prospettiva, il PNA (che si muove sul solco metodologico già introdotto dal PNA 2013 e ripreso nell’Aggiornamento 2015 al PNA) ribadisce la centralità dell’analisi del rischio e delle misure specifiche di prevenzione della corruzione contestualizzate, fattibili e verificabili nonché offre ulteriori orientamenti e indicazioni a supporto delle amministrazioni favorendo anche lo scambio di buone pratiche.  In secondo luogo, si è riscontrata una tendenziale difficoltà delle amministrazioni ad adeguare autonomamente misure e strumenti previsti nel PNA 2013, con particolare riferimento alle fasi di ponderazione del rischio.  Ciò evidenzia, ancora una volta, il disagio delle amministrazioni di uscire da schemi </w:t>
      </w:r>
      <w:proofErr w:type="spellStart"/>
      <w:r w:rsidRPr="00EC6EF6">
        <w:rPr>
          <w:rFonts w:ascii="Kristen ITC" w:hAnsi="Kristen ITC"/>
          <w:sz w:val="24"/>
          <w:szCs w:val="24"/>
        </w:rPr>
        <w:t>pre</w:t>
      </w:r>
      <w:proofErr w:type="spellEnd"/>
      <w:r w:rsidRPr="00EC6EF6">
        <w:rPr>
          <w:rFonts w:ascii="Kristen ITC" w:hAnsi="Kristen ITC"/>
          <w:sz w:val="24"/>
          <w:szCs w:val="24"/>
        </w:rPr>
        <w:t xml:space="preserve">-impostati, alla ricerca di soluzioni meglio rispondenti alle peculiarità delle stesse e la necessità, quindi, di offrire strumenti differenziati a seconda del comparto e/o della complessità organizzativa. Il PNA, cercando di superare la logica dell’applicazione uniforme e formalistica della disciplina, si muove proprio nella direzione di provare a dare indicazioni e strumenti differenziati, in particolare con riferimento a possibili semplificazioni organizzative, in caso di ridotte dimensioni degli enti e con riferimento alla tipologia di misure di prevenzione della corruzione.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12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lastRenderedPageBreak/>
        <w:t xml:space="preserve">3. Soggetti tenuti all’adozione di misure di prevenzione della corruzione Sull’ambito soggettivo di applicazione delle disposizioni in materia di trasparenza e degli indirizzi in materia di prevenzione della corruzione dettati dal PNA è recentemente intervenuto il d.lgs. 97/2016 che ha introdotto modifiche ed integrazioni sia al d.lgs. 33/2013 sia alla l. 190/2012. Le modifiche hanno delineato un ambito di applicazione della disciplina della trasparenza diverso, e più ampio, rispetto a quello che individua i soggetti tenuti ad applicare le misure di prevenzione della corruzione. Questi ultimi, inoltre, sono distinti tra soggetti che adottano il PTPC e quelli che adottano misure di prevenzione della corruzione integrative di quelle adottate ai sensi del decreto legislativo 8 giugno 2001, n. 231.  In particolare il d.lgs. 97/2016 inserisce all’interno del d.lgs. 33/2013, specificamente dedicato alla trasparenza, un nuovo articolo, l’art. 2-bis, rubricato «Ambito soggettivo di applicazione», che sostituisce l’art. 11 del d.lgs. 33/2013, contestualmente abrogato dall’art. 43.  Esso individua tre macro categorie di soggetti: le pubbliche amministrazioni (art. 2-bis, co. 1); altri soggetti tra cui enti pubblici economici, ordini professionali, società in controllo ed enti di diritto privato (art. 2-bis, co. 2); altre società a partecipazione pubblica ed enti di diritto privato (art. 2-bis, co. 3).  Per quanto riguarda in generale le altre misure di prevenzione della corruzione in attuazione della l. 190/2012, il co. 1, </w:t>
      </w:r>
      <w:proofErr w:type="spellStart"/>
      <w:r w:rsidRPr="00EC6EF6">
        <w:rPr>
          <w:rFonts w:ascii="Kristen ITC" w:hAnsi="Kristen ITC"/>
          <w:sz w:val="24"/>
          <w:szCs w:val="24"/>
        </w:rPr>
        <w:t>lett</w:t>
      </w:r>
      <w:proofErr w:type="spellEnd"/>
      <w:r w:rsidRPr="00EC6EF6">
        <w:rPr>
          <w:rFonts w:ascii="Kristen ITC" w:hAnsi="Kristen ITC"/>
          <w:sz w:val="24"/>
          <w:szCs w:val="24"/>
        </w:rPr>
        <w:t xml:space="preserve">. a) e b) dell’art. 41 del d.lgs. 97/2016, modificando la l. 190/2012, specifica che il PNA «costituisce atto di indirizzo per le pubbliche amministrazioni di cui all’articolo 1, comma 2, del decreto legislativo 30 marzo 2001, n. 165, ai fini dell’adozione dei propri piani triennali di prevenzione della corruzione, e per gli altri soggetti di cui all’art. 2-bis, co. 2 del decreto legislativo 14 marzo 2013, n. 33, ai fini dell’adozione di misure di prevenzione della corruzione integrative di quelle adottate ai sensi del decreto legislativo 8 giugno 2001, n. 231, anche per assicurare l’attuazione dei compiti di cui al comma 4, lettera a)». A tal proposito, si ritiene utile fornire un quadro riassuntivo di quanto recentemente previsto in relazione alle diverse categorie di soggetti individuate dalle nuove disposizioni citate al fine di assicurare coerenza e coordinamento del dettato normativo.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3.1 Pubbliche amministrazioni La disciplina in materia di trasparenza si applica pienamente alle pubbliche amministrazioni, intese come «tutte le amministrazioni di cui all’articolo 1, comma 2 del decreto legislativo 30 marzo 2001, n. 165 e successive modificazioni, ivi comprese le autorità portuali, nonché le autorità amministrative indipendenti di garanzia, vigilanza e regolazione» (art. 2-bis, co. 1, d.lgs. 33/2013). Con riguardo alle autorità amministrative indipendenti la relazione illustrativa del </w:t>
      </w:r>
      <w:r w:rsidRPr="00EC6EF6">
        <w:rPr>
          <w:rFonts w:ascii="Kristen ITC" w:hAnsi="Kristen ITC"/>
          <w:sz w:val="24"/>
          <w:szCs w:val="24"/>
        </w:rPr>
        <w:lastRenderedPageBreak/>
        <w:t xml:space="preserve">decreto contiene un’elencazione che ricomprende l’Autorità Garante della concorrenza e del mercato, la Commissione nazionale per le società e la borsa, l’Autorità di regolazione dei trasporti, l’Autorità per l’energia elettrica, il gas il sistema idrico, l’Autorità per le garanzie nelle comunicazioni, il Garante per la protezione dei dati personali, l’Autorità nazionale anticorruzione, la Commissione di vigilanza sui fondi pensione, la Commissione di garanzia dell’attuazione della legge sullo sciopero nei servizi pubblici essenziali, la Banca d’Italia. Le pubbliche amministrazioni di cui all’art. 1, co. 2 del d.lgs. 165/2001 e successive modificazioni, adottano PTPC per i quali il PNA costituisce atto di indirizzo (art. 1, co. 2-bis, l. 190/2012). Al fine di assicurare l’applicazione coordinata di tutte le misure di prevenzione della corruzione, ivi compresa quella della trasparenza, e considerato che per definire i soggetti tenuti ad adottare il PTPC o le misure di prevenzione della corruzione integrative di quelle adottate ai sensi del d.lgs. 231/2001, l’art. 1, co. 2-bis della l. 190/2012 rinvia all’art. 2-bis del d.lgs. 33/2013, tale rinvio non può che essere interpretato come riferito anche a tutti i soggetti ivi richiamati, comprese le Autorità portuali e le Autorità amministrative indipendenti di garanzia, vigilanza e regolazione, tenute ad adottare un proprio PTPC.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13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3.2 Enti pubblici economici, ordini professionali, società in controllo pubblico ed altri enti di diritto privato assimilati Il legislatore ha disciplinato in modo unitario, in via residuale e speciale, altri soggetti che hanno natura e caratteristiche organizzative differenti fra loro, ovvero gli enti pubblici economici, gli ordini professionali, le società in controllo pubblico, le associazioni, le fondazioni e gli enti di diritto privato comunque denominati. Per quanto concerne la trasparenza, l’art. 2-bis, co. 2, del d.lgs. 33/2013, introdotto dal d.lgs. 97/2016, dispone infatti che la normativa del d.lgs. 33/2013 si applica, in quanto compatibile, anche a: a) enti pubblici economici e ordini professionali; b) società in controllo pubblico come definite dallo schema di decreto legislativo predisposto in attuazione dell’art. 18 della legge 7 agosto 2015, n. 124, «Testo Unico in materia di società a partecipazione pubblica»4 (nel prosieguo schema di testo unico); Sono escluse, invece, le società quotate come definite dallo stesso decreto legislativo emanato in attuazione dell’art. 18 della legge 7 agosto 2015, n. 124.5  c) associazioni, fondazioni e enti di </w:t>
      </w:r>
      <w:r w:rsidRPr="00EC6EF6">
        <w:rPr>
          <w:rFonts w:ascii="Kristen ITC" w:hAnsi="Kristen ITC"/>
          <w:sz w:val="24"/>
          <w:szCs w:val="24"/>
        </w:rPr>
        <w:lastRenderedPageBreak/>
        <w:t xml:space="preserve">diritto privato comunque denominati, anche privi di personalità giuridica, con bilancio superiore a cinquecentomila euro, la cui attività sia finanziata in modo maggioritario per almeno due esercizi finanziari consecutivi nell’ultimo triennio da pubbliche amministrazioni e in cui la totalità dei titolari o dei componenti dell’organo di amministrazione o di indirizzo sia designata da pubbliche amministrazioni.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I soggetti di cui alle lettere a) b) c) applicano la medesima disciplina sulla trasparenza prevista per le pubbliche amministrazioni, con riguardo sia all’organizzazione sia all’attività svolta, «in quanto compatibile».  Per quanto concerne le altre misure di prevenzione della corruzione, dall’art. 41 citato si evince che detti soggetti debbano adottare misure di prevenzione della corruzione integrative di quelle adottate ai sensi del decreto legislativo 8 giugno 2001, n. 231 (art. 1, co. 2-bis, l. 190/2012). Essi, pertanto, integrano il modello di organizzazione e gestione ex d.lgs. n. 231 del 2001 con misure idonee a prevenire anche i fenomeni di corruzione e di illegalità in coerenza con le finalità della l. 190/2012. Le misure sono ricondotte in un documento unitario che tiene luogo del PTPC anche ai fini della valutazione dell’aggiornamento annuale e della vigilanza dell’ANAC. Se riunite in un unico documento con quelle adottate in attuazione del d.lgs. n. 231/2001, dette misure sono collocate in una sezione apposita e dunque chiaramente identificabili, tenuto conto che ad esse sono correlate forme di gestione e responsabilità differenti. Nei casi in cui ai soggetti di cui alle lettere a) b) c) non si applichi il d.lgs. 231/2001, o essi ritengano di non fare ricorso al modello di organizzazione e gestione ivi previsto, al fine di assicurare lo scopo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4 In particolare, all’art. 2, co. 1, lettera m) dello schema di testo unico, sono definite «società a controllo pubblico: le società in cui una o più amministrazioni pubbliche esercitano poteri di controllo ai sensi della lettera b)», che, a sua volta, definisce «controllo: la situazione descritta nell’art. 2359 del codice civile. Il controllo può sussistere anche quando, in applicazione di norme di legge o statutarie o di patti parasociali, per le decisioni finanziarie e gestionali strategiche relative all’attività sociale è richiesto il consenso unanime di tutte le parti che condividono il controllo». 5 All’art. 2, co.1, </w:t>
      </w:r>
      <w:proofErr w:type="spellStart"/>
      <w:r w:rsidRPr="00EC6EF6">
        <w:rPr>
          <w:rFonts w:ascii="Kristen ITC" w:hAnsi="Kristen ITC"/>
          <w:sz w:val="24"/>
          <w:szCs w:val="24"/>
        </w:rPr>
        <w:t>lett</w:t>
      </w:r>
      <w:proofErr w:type="spellEnd"/>
      <w:r w:rsidRPr="00EC6EF6">
        <w:rPr>
          <w:rFonts w:ascii="Kristen ITC" w:hAnsi="Kristen ITC"/>
          <w:sz w:val="24"/>
          <w:szCs w:val="24"/>
        </w:rPr>
        <w:t xml:space="preserve">. o) dello schema di testo unico citato si specifica che sono società quotate «le società a partecipazione pubblica che emettono azioni quotate in mercati regolamentati; le società che hanno emesso, alla data del 31 </w:t>
      </w:r>
      <w:r w:rsidRPr="00EC6EF6">
        <w:rPr>
          <w:rFonts w:ascii="Kristen ITC" w:hAnsi="Kristen ITC"/>
          <w:sz w:val="24"/>
          <w:szCs w:val="24"/>
        </w:rPr>
        <w:lastRenderedPageBreak/>
        <w:t xml:space="preserve">dicembre 2015, strumenti finanziari, diversi dalle azioni, quotati in mercati regolamentati; le società partecipate dalle une o dalle altre, salvo che le stesse siano anche controllate o partecipate da amministrazioni pubbliche».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14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proofErr w:type="gramStart"/>
      <w:r w:rsidRPr="00EC6EF6">
        <w:rPr>
          <w:rFonts w:ascii="Kristen ITC" w:hAnsi="Kristen ITC"/>
          <w:sz w:val="24"/>
          <w:szCs w:val="24"/>
        </w:rPr>
        <w:t>della</w:t>
      </w:r>
      <w:proofErr w:type="gramEnd"/>
      <w:r w:rsidRPr="00EC6EF6">
        <w:rPr>
          <w:rFonts w:ascii="Kristen ITC" w:hAnsi="Kristen ITC"/>
          <w:sz w:val="24"/>
          <w:szCs w:val="24"/>
        </w:rPr>
        <w:t xml:space="preserve"> norma e in una logica di semplificazione e non aggravamento, gli stessi adottano un PTPC ai sensi della l. 190/2012 e </w:t>
      </w:r>
      <w:proofErr w:type="spellStart"/>
      <w:r w:rsidRPr="00EC6EF6">
        <w:rPr>
          <w:rFonts w:ascii="Kristen ITC" w:hAnsi="Kristen ITC"/>
          <w:sz w:val="24"/>
          <w:szCs w:val="24"/>
        </w:rPr>
        <w:t>s.m.i.</w:t>
      </w:r>
      <w:proofErr w:type="spellEnd"/>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3.3 Società in partecipazione pubblica ed altri enti di diritto privato assimilati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Il legislatore ha considerato separatamente, e con solo riferimento alla disciplina in materia di trasparenza, le società a partecipazione pubblica e altri enti di diritto privato assimilati. L’art. 2-bis, co. 3, del d.lgs. 33/2013, dispone infatti che alle società in partecipazione come definite dal decreto legislativo emanato in attuazione dell'articolo 18 della legge 7 agosto 2015, n. 124 (schema di testo unico) e alle associazioni, alle fondazioni e agli enti di diritto privato, anche privi di personalità giuridica, con bilancio superiore a cinquecentomila euro, che esercitano funzioni amministrative, attività di produzione di beni e servizi a favore delle amministrazioni pubbliche o di gestione di servizi pubblici, si applica la medesima disciplina in materia di trasparenza prevista per le pubbliche amministrazioni «in quanto compatibile» e «limitatamente ai dati e ai documenti inerenti all’attività di pubblico interesse disciplinata dal diritto nazionale o dell’Unione europea».  Per i suddetti soggetti, invece, l’art. 1, co. 2-bis, della l. 190/2012 non prevede alcuna espressa disciplina in materia di adozione di misure di prevenzione della corruzione. In linea con l’impostazione della determinazione ANAC 8/2015, le amministrazioni partecipanti o che siano collegate a detti soggetti in relazione alle funzioni amministrative o ai servizi pubblici da essi svolti ovvero all’attività di produzione di beni e servizi dovrebbero, per le società, promuovere l’adozione del modello di organizzazione e gestione ai sensi del d.lgs. 231/2001, ferma restando la possibilità, anche su indicazione delle amministrazioni partecipanti, di programmare misure organizzative ai fini di prevenzione della corruzione ex l. 190/2012; per gli altri </w:t>
      </w:r>
      <w:r w:rsidRPr="00EC6EF6">
        <w:rPr>
          <w:rFonts w:ascii="Kristen ITC" w:hAnsi="Kristen ITC"/>
          <w:sz w:val="24"/>
          <w:szCs w:val="24"/>
        </w:rPr>
        <w:lastRenderedPageBreak/>
        <w:t xml:space="preserve">soggetti indicati al citato co. 3, invece, promuovere l’adozione di protocolli di legalità che disciplinino specifici obblighi di prevenzione della corruzione e, laddove compatibile con la dimensione organizzativa, l’adozione di modelli come quello previsto nel d.lgs. 231/2001 ***** Al momento della stesura del presente PNA il decreto legislativo sulle società a partecipazione pubblica (schema di testo unico) non è stato ancora adottato, circostanza che determina incertezze sulla definizione dell’ambito soggettivo di applicazione del d.lgs. 33/2013 e della l. 190/2012. Tenuto, inoltre, conto del fatto che l’Autorità deve individuare gli obblighi di pubblicazione applicabili a dette società e agli altri enti di diritto privato indicati nell’art. 2-bis secondo il criterio della “compatibilità”, l’Autorità si riserva l’approfondimento di tutte queste problematiche e di quelle collegate all’applicazione della l. 190/2012 a detti soggetti in apposite Linee guida, di modifica della determinazione n. 8/2015, da adottare appena in vigore il decreto sopra citato, da considerare parte integrante del presente PNA. Giova fin da ora evidenziare che il comma 2 del nuovo art. 2-bis del d.lgs. 33/2013 esclude le società quotate controllate dalla categoria delle società in controllo pubblico, cui si applica, in quanto compatibile, il regime di trasparenza delle pubbliche amministrazioni. Le società quotate e quelle che emettono strumenti finanziari in mercati regolamentati non sono, invece, espressamente escluse dall’applicazione del co. 3 dello stesso articolo, che prevede un regime di trasparenza per le società partecipate da pubbliche amministrazioni limitato alle attività di pubblico interesse svolte. Sarebbe plausibile, allora, ritenere che, in considerazione delle peculiarità delle società quotate dovute alla quotazione delle azioni e alla contendibilità delle società sul mercato, indice dello svolgimento di attività prevalentemente in regime di libera concorrenza, e valutata l’esistenza di una specifica regolamentazione di settore, le società quotate o che emettono strumenti finanziari quotati in mercati regolamentati, siano considerate, ai fini della trasparenza e della prevenzione della corruzione, quali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15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proofErr w:type="gramStart"/>
      <w:r w:rsidRPr="00EC6EF6">
        <w:rPr>
          <w:rFonts w:ascii="Kristen ITC" w:hAnsi="Kristen ITC"/>
          <w:sz w:val="24"/>
          <w:szCs w:val="24"/>
        </w:rPr>
        <w:t>società</w:t>
      </w:r>
      <w:proofErr w:type="gramEnd"/>
      <w:r w:rsidRPr="00EC6EF6">
        <w:rPr>
          <w:rFonts w:ascii="Kristen ITC" w:hAnsi="Kristen ITC"/>
          <w:sz w:val="24"/>
          <w:szCs w:val="24"/>
        </w:rPr>
        <w:t xml:space="preserve"> partecipate, indipendentemente dall’esistenza di una situazione di effettivo controllo pubblico o meno.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lastRenderedPageBreak/>
        <w:t xml:space="preserve">4. Ulteriori contenuti dei PTPC alla luce delle recenti modifiche normative Le amministrazioni e i soggetti specificamente indicati nell’art. 2-bis, co. 2 del d.lgs. 33/2013, sono tenuti ad adottare il PTPC o le misure di prevenzione della corruzione integrative di quelle già adottate ai sensi del d.lgs. 231/2001.  Oltre ai contenuti evidenziati nel PNA 2013 e nella determinazione 12/2015, si evidenzia che il d.lgs. 97/2016, nel modificare il d.lgs. 33/2013 e la l. 190/2012, ha fornito ulteriori indicazioni sul contenuto del PTPC. In particolare, il Piano assume un valore programmatico ancora più incisivo, dovendo necessariamente prevedere gli obiettivi strategici per il contrasto alla corruzione fissati dall’organo di indirizzo. L’elaborazione del PTPC presuppone, dunque, il diretto coinvolgimento del vertice delle p.a. e degli enti in ordine alla determinazione delle finalità da perseguire per la prevenzione della corruzione, decisione che è elemento essenziale e indefettibile del Piano stesso e dei documenti di programmazione strategico-gestionale. Altro contenuto indefettibile del PTPC riguarda la definizione delle misure organizzative per l’attuazione effettiva degli obblighi di trasparenza. La soppressione del riferimento esplicito al Programma triennale per la trasparenza e l’integrità, per effetto della nuova disciplina, comporta che l’individuazione delle modalità di attuazione della trasparenza non sia oggetto di un separato atto, ma sia parte integrante del PTPC come “apposita sezione”. Quest’ultima deve contenere, dunque, le soluzioni organizzative idonee ad assicurare l’adempimento degli obblighi di pubblicazione di dati e informazioni previsti dalla normativa vigente. In essa devono anche essere chiaramente identificati i responsabili della trasmissione e della pubblicazione dei dati, dei documenti e delle informazioni. Si raccomanda alle amministrazioni e agli altri enti e soggetti interessati dall’adozione di misure di prevenzione della corruzione, di curare la partecipazione degli stakeholder nella elaborazione e nell’attuazione delle misure di prevenzione della corruzione, anche attraverso comunicati mirati, in una logica di sensibilizzazione dei cittadini alla cultura della legalità.  Le nuove disposizioni normative (art. 1, co. 8, l. 190/2012) prevedono che il PTPC debba essere trasmesso all’ANAC. Al riguardo si precisa che, in attesa della predisposizione di un’apposita piattaforma informatica, in una logica di semplificazione degli adempimenti, non deve essere trasmesso alcun documento ad ANAC. Tale adempimento si intende assolto con la pubblicazione del PTPC sul sito istituzionale, sezione “Amministrazione trasparente/Altri contenuti Corruzione”. I documenti in argomento e le loro modifiche o aggiornamenti devono rimanere pubblicati sul sito unitamente a quelli degli anni precedenti.  Il rinvio alla comunicazione dei PTPC deve intendersi riferito anche alle misure di prevenzione integrative di quelle adottate ai sensi del d.lgs. n. 231/2001. Anche queste ultime </w:t>
      </w:r>
      <w:r w:rsidRPr="00EC6EF6">
        <w:rPr>
          <w:rFonts w:ascii="Kristen ITC" w:hAnsi="Kristen ITC"/>
          <w:sz w:val="24"/>
          <w:szCs w:val="24"/>
        </w:rPr>
        <w:lastRenderedPageBreak/>
        <w:t xml:space="preserve">sono pubblicate sul sito istituzionale degli enti, analogamente a quanto evidenziato sopra per i PTPC.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5. Soggetti interni coinvolti nel processo di predisposizione e adozione del PTPC L’Autorità conferma le indicazioni già date nell’Aggiornamento 2015 al PNA, cui si rinvia, con riferimento al ruolo e alle responsabilità di tutti i soggetti che a vario titolo partecipano alla programmazione, adozione, attuazione e monitoraggio delle misure di prevenzione della corruzione.  Si evidenzia che le nuove disposizioni ribadiscono che l’attività di elaborazione dei PTPC, nonché delle misure di prevenzione della corruzione integrative di quelle adottate ai sensi del d.lgs. 231/2001,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16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proofErr w:type="gramStart"/>
      <w:r w:rsidRPr="00EC6EF6">
        <w:rPr>
          <w:rFonts w:ascii="Kristen ITC" w:hAnsi="Kristen ITC"/>
          <w:sz w:val="24"/>
          <w:szCs w:val="24"/>
        </w:rPr>
        <w:t>non</w:t>
      </w:r>
      <w:proofErr w:type="gramEnd"/>
      <w:r w:rsidRPr="00EC6EF6">
        <w:rPr>
          <w:rFonts w:ascii="Kristen ITC" w:hAnsi="Kristen ITC"/>
          <w:sz w:val="24"/>
          <w:szCs w:val="24"/>
        </w:rPr>
        <w:t xml:space="preserve"> può essere affidata a soggetti estranei all’amministrazione o ente (art. 1, co. 8, l. 190/2012, come modificato dall’art. 41, co. 1, </w:t>
      </w:r>
      <w:proofErr w:type="spellStart"/>
      <w:r w:rsidRPr="00EC6EF6">
        <w:rPr>
          <w:rFonts w:ascii="Kristen ITC" w:hAnsi="Kristen ITC"/>
          <w:sz w:val="24"/>
          <w:szCs w:val="24"/>
        </w:rPr>
        <w:t>lett</w:t>
      </w:r>
      <w:proofErr w:type="spellEnd"/>
      <w:r w:rsidRPr="00EC6EF6">
        <w:rPr>
          <w:rFonts w:ascii="Kristen ITC" w:hAnsi="Kristen ITC"/>
          <w:sz w:val="24"/>
          <w:szCs w:val="24"/>
        </w:rPr>
        <w:t xml:space="preserve">. g) del d.lgs. 97/2016).  Lo scopo della norma è quello di considerare la predisposizione del PTPC un’attività che deve essere necessariamente svolta da chi opera esclusivamente all’interno dell’amministrazione o dell’ente interessato, sia perché presuppone una profonda conoscenza della struttura organizzativa, di come si configurano i processi decisionali (siano o meno procedimenti amministrativi) e della possibilità di conoscere quali profili di rischio siano involti; sia perché comporta l’individuazione delle misure di prevenzione che più si attagliano alla fisionomia dell’ente e dei singoli uffici. Tutte queste attività, da ricondurre a quelle di gestione del rischio, trovano il loro logico presupposto nella partecipazione attiva e nel coinvolgimento di tutti i dirigenti e di coloro che a vario titolo sono responsabili dell’attività delle PA e degli enti. Sono quindi da escludere affidamenti di incarichi di consulenza comunque considerati nonché l’utilizzazione di schemi o di altri supporti forniti da soggetti esterni. In entrambi i casi, infatti, non viene soddisfatto lo scopo della norma che è quello di far svolgere alle amministrazioni e agli enti un’appropriata ed effettiva analisi e valutazione dei rischio e di far individuare misure di prevenzione proporzionate e contestualizzate rispetto alle caratteristiche della specifica amministrazione o ente.  D’altra parte, la citata disposizione va letta anche alla luce della clausola di invarianza della spesa che deve guidare p.a. ed enti nell’attuazione </w:t>
      </w:r>
      <w:r w:rsidRPr="00EC6EF6">
        <w:rPr>
          <w:rFonts w:ascii="Kristen ITC" w:hAnsi="Kristen ITC"/>
          <w:sz w:val="24"/>
          <w:szCs w:val="24"/>
        </w:rPr>
        <w:lastRenderedPageBreak/>
        <w:t xml:space="preserve">della l. 190/2012 e dei decreti delegati ad essa collegati.  Di seguito si riportano solamente alcune indicazioni integrative alla luce di richieste di chiarimenti e delle modifiche normative intervenute.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5.1 Organi di indirizzo Gli organi di indirizzo nelle amministrazioni e negli enti dispongono di competenze rilevanti nel processo di individuazione delle misure di prevenzione della corruzione ossia la nomina del RPC e l’adozione del PTPC (art. 41, co. 1, </w:t>
      </w:r>
      <w:proofErr w:type="spellStart"/>
      <w:r w:rsidRPr="00EC6EF6">
        <w:rPr>
          <w:rFonts w:ascii="Kristen ITC" w:hAnsi="Kristen ITC"/>
          <w:sz w:val="24"/>
          <w:szCs w:val="24"/>
        </w:rPr>
        <w:t>lett</w:t>
      </w:r>
      <w:proofErr w:type="spellEnd"/>
      <w:r w:rsidRPr="00EC6EF6">
        <w:rPr>
          <w:rFonts w:ascii="Kristen ITC" w:hAnsi="Kristen ITC"/>
          <w:sz w:val="24"/>
          <w:szCs w:val="24"/>
        </w:rPr>
        <w:t>. g) del d.lgs. 97/2016). Per gli enti locali la norma precisa che «il piano è approvato dalla</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roofErr w:type="gramStart"/>
      <w:r w:rsidRPr="00EC6EF6">
        <w:rPr>
          <w:rFonts w:ascii="Kristen ITC" w:hAnsi="Kristen ITC"/>
          <w:sz w:val="24"/>
          <w:szCs w:val="24"/>
        </w:rPr>
        <w:t>giunta</w:t>
      </w:r>
      <w:proofErr w:type="gramEnd"/>
      <w:r w:rsidRPr="00EC6EF6">
        <w:rPr>
          <w:rFonts w:ascii="Kristen ITC" w:hAnsi="Kristen ITC"/>
          <w:sz w:val="24"/>
          <w:szCs w:val="24"/>
        </w:rPr>
        <w:t xml:space="preserve">».  Per quanto riguarda le Province, la legge 7 aprile 2014, n. 56 «Disposizioni sulle città metropolitane, sulle province, sulle unioni e fusioni di comuni», nel ridefinire la forma di governo provinciale (cui sono dedicati i commi da 54 a 56) non prevede più la “giunta”, a favore di una gestione collegiale di “presidente” e “consiglio delle funzioni provinciali”. Si ritiene, pertanto, che nelle Province, attesa l’assenza di Giunta, l’adozione del PTPC debba, di norma, prevedere un doppio passaggio: l’approvazione da parte del Consiglio provinciale di un documento di carattere generale sul contenuto del PTPC e l’adozione da parte del Presidente, fatta salva una diversa previsione statutaria. Ne consegue che la responsabilità in caso di “omessa adozione” si configura in capo all’organo competente all’adozione finale, individuato, salvo diversa disposizione statutaria, nel Presidente. Resta fermo che per omessa adozione si intende tutto quanto evidenziato dall’Autorità nell’art. 1, </w:t>
      </w:r>
      <w:proofErr w:type="spellStart"/>
      <w:r w:rsidRPr="00EC6EF6">
        <w:rPr>
          <w:rFonts w:ascii="Kristen ITC" w:hAnsi="Kristen ITC"/>
          <w:sz w:val="24"/>
          <w:szCs w:val="24"/>
        </w:rPr>
        <w:t>lett</w:t>
      </w:r>
      <w:proofErr w:type="spellEnd"/>
      <w:r w:rsidRPr="00EC6EF6">
        <w:rPr>
          <w:rFonts w:ascii="Kristen ITC" w:hAnsi="Kristen ITC"/>
          <w:sz w:val="24"/>
          <w:szCs w:val="24"/>
        </w:rPr>
        <w:t xml:space="preserve">. g) del «Regolamento in materia di esercizio del potere sanzionatorio dell’Autorità Nazionale Anticorruzione per l’omessa adozione dei Piani triennali di prevenzione della corruzione, dei Programmi triennali di trasparenza, dei Codici di comportamento» del 9 settembre 2014. Quanto previsto sull’organo competente ad adottare il PTPC è da intendersi riferito anche all’adozione dei codici di comportamento.  La medesima indicazione vale altresì per le città metropolitane come precisato al § 3 dell’approfondimento del presente PNA. Resta fermo quanto previsto dall’Aggiornamento 2015 al PNA (§ 4.1) per quel che riguarda gli enti territoriali caratterizzati dalla presenza di due organi di indirizzo politico, uno generale (Consiglio) ed uno esecutivo (Giunta) nonché per quelli dotati di un solo organo di indirizzo.  Tra i contenuti necessari del PTPC vi sono gli obiettivi strategici in materia di prevenzione della corruzione e della trasparenza (art 1, co 8, come novellato dall’art. 41 del d.lgs. 97/2016). Si raccomanda agli organi di indirizzo di prestare particolare attenzione alla individuazione di detti obiettivi nella logica di una effettiva e consapevole partecipazione alla costruzione del sistema di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17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proofErr w:type="gramStart"/>
      <w:r w:rsidRPr="00EC6EF6">
        <w:rPr>
          <w:rFonts w:ascii="Kristen ITC" w:hAnsi="Kristen ITC"/>
          <w:sz w:val="24"/>
          <w:szCs w:val="24"/>
        </w:rPr>
        <w:t>prevenzione</w:t>
      </w:r>
      <w:proofErr w:type="gramEnd"/>
      <w:r w:rsidRPr="00EC6EF6">
        <w:rPr>
          <w:rFonts w:ascii="Kristen ITC" w:hAnsi="Kristen ITC"/>
          <w:sz w:val="24"/>
          <w:szCs w:val="24"/>
        </w:rPr>
        <w:t xml:space="preserve">. Tra questi già l’art. 10, co. 3, del d.lgs. 33/2013, come novellato dall’art. 10 del d.lgs. 97/2016, stabilisce che la promozione di maggiori livelli di trasparenza costituisce obiettivo strategico di ogni amministrazione, che deve tradursi in obiettivi organizzativi e individuali. In tal caso, ad esempio, può darsi come indicazione quella di pubblicare “dati ulteriori” in relazione a specifiche aree a rischio. La mancanza di tali obiettivi può configurare un elemento che rileva ai fini della irrogazione delle sanzioni di cui all’art. 19, co. 5, </w:t>
      </w:r>
      <w:proofErr w:type="spellStart"/>
      <w:r w:rsidRPr="00EC6EF6">
        <w:rPr>
          <w:rFonts w:ascii="Kristen ITC" w:hAnsi="Kristen ITC"/>
          <w:sz w:val="24"/>
          <w:szCs w:val="24"/>
        </w:rPr>
        <w:t>lett</w:t>
      </w:r>
      <w:proofErr w:type="spellEnd"/>
      <w:r w:rsidRPr="00EC6EF6">
        <w:rPr>
          <w:rFonts w:ascii="Kristen ITC" w:hAnsi="Kristen ITC"/>
          <w:sz w:val="24"/>
          <w:szCs w:val="24"/>
        </w:rPr>
        <w:t xml:space="preserve">. b) del </w:t>
      </w:r>
      <w:proofErr w:type="spellStart"/>
      <w:r w:rsidRPr="00EC6EF6">
        <w:rPr>
          <w:rFonts w:ascii="Kristen ITC" w:hAnsi="Kristen ITC"/>
          <w:sz w:val="24"/>
          <w:szCs w:val="24"/>
        </w:rPr>
        <w:t>d.l.</w:t>
      </w:r>
      <w:proofErr w:type="spellEnd"/>
      <w:r w:rsidRPr="00EC6EF6">
        <w:rPr>
          <w:rFonts w:ascii="Kristen ITC" w:hAnsi="Kristen ITC"/>
          <w:sz w:val="24"/>
          <w:szCs w:val="24"/>
        </w:rPr>
        <w:t xml:space="preserve"> 90/2014. Sempre nell’ottica di un effettivo coinvolgimento degli organi di indirizzo nella impostazione della strategia di prevenzione della corruzione, ad essi spetta anche la decisione in ordine all’introduzione di modifiche organizzative per assicurare al RPC funzioni e poteri idonei allo svolgimento del ruolo con autonomia ed effettività. Si ricorda, inoltre, che gli organi di indirizzo ricevono la relazione annuale del RPC, possono chiamare quest’ultimo a riferire sull’attività e ricevono dallo stesso segnalazioni su eventuali disfunzioni riscontrate inerenti l’attuazione delle misure di prevenzione e di trasparenza.  In relazione al coinvolgimenti degli organi di indirizzo, nei termini sopra evidenziati, l’Autorità si riserva di poter chiedere informazioni in merito direttamente agli stessi.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5.2 Responsabile della prevenzione della corruzione e della trasparenza La figura del RPC è stata interessata in modo significativo dalle modifiche introdotte dal d.lgs. 97/2016. La nuova disciplina è volta a unificare in capo ad un solo soggetto l’incarico di Responsabile della prevenzione della corruzione e della trasparenza e a rafforzarne il ruolo, prevedendo che ad esso siano riconosciuti poteri e funzioni idonei a garantire lo svolgimento dell’incarico con autonomia ed effettività, eventualmente anche con modifiche organizzative.  D’ora in avanti, pertanto, il Responsabile viene identificato con riferimento ad entrambi i ruoli come Responsabile della prevenzione della corruzione e della trasparenza (RPCT). Si precisa sin da ora che in attuazione delle nuove disposizioni normative, gli organi di indirizzo formalizzano con apposito atto l’integrazione dei compiti in materia di trasparenza agli attuali RPC, avendo cura di indicare la relativa decorrenza. Altro elemento di novità è quello della interazione fra RPCT e organismi indipendenti di valutazione.  Si evidenzia, infine, quanto disposto dal decreto del Ministero </w:t>
      </w:r>
      <w:r w:rsidRPr="00EC6EF6">
        <w:rPr>
          <w:rFonts w:ascii="Kristen ITC" w:hAnsi="Kristen ITC"/>
          <w:sz w:val="24"/>
          <w:szCs w:val="24"/>
        </w:rPr>
        <w:lastRenderedPageBreak/>
        <w:t xml:space="preserve">dell’interno del 25 settembre 20156 «Determinazione degli indicatori di anomalia al fine di agevolare l’individuazione di operazioni sospette di riciclaggio e di finanziamento del terrorismo da parte degli uffici della pubblica amministrazione» che, all’art. 6, co. 5 prevede che nelle amministrazioni indicate all’art. 1, </w:t>
      </w:r>
      <w:proofErr w:type="spellStart"/>
      <w:r w:rsidRPr="00EC6EF6">
        <w:rPr>
          <w:rFonts w:ascii="Kristen ITC" w:hAnsi="Kristen ITC"/>
          <w:sz w:val="24"/>
          <w:szCs w:val="24"/>
        </w:rPr>
        <w:t>lett</w:t>
      </w:r>
      <w:proofErr w:type="spellEnd"/>
      <w:r w:rsidRPr="00EC6EF6">
        <w:rPr>
          <w:rFonts w:ascii="Kristen ITC" w:hAnsi="Kristen ITC"/>
          <w:sz w:val="24"/>
          <w:szCs w:val="24"/>
        </w:rPr>
        <w:t xml:space="preserve">. h) del decreto, la persona individuata come “gestore” delle segnalazioni di operazioni sospette può coincidere con il Responsabile della prevenzione della corruzione, in una logica di continuità esistente fra i presidi anticorruzione e antiriciclaggio e l’utilità delle misure di prevenzione del riciclaggio a fini di contrasto della corruzione. Le amministrazioni possono quindi valutare e decidere, motivando congruamente, se affidare l’incarico di “gestore” al RPCT oppure ad altri soggetti già eventualmente provvisti di idonee competenze e risorse organizzative garantendo, in tale ipotesi, meccanismi di coordinamento tra RPCT e soggetto “gestore”.  Si ritiene opportuno, pertanto, precisare e modificare, alla luce del d.lgs. 97/2016 le indicazioni del PNA 2013 e quelle fornite con l’Aggiornamento 2015 al PNA.  a) Criteri di scelta Nelle pubbliche </w:t>
      </w:r>
      <w:proofErr w:type="gramStart"/>
      <w:r w:rsidRPr="00EC6EF6">
        <w:rPr>
          <w:rFonts w:ascii="Kristen ITC" w:hAnsi="Kristen ITC"/>
          <w:sz w:val="24"/>
          <w:szCs w:val="24"/>
        </w:rPr>
        <w:t>amministrazioni  Come</w:t>
      </w:r>
      <w:proofErr w:type="gramEnd"/>
      <w:r w:rsidRPr="00EC6EF6">
        <w:rPr>
          <w:rFonts w:ascii="Kristen ITC" w:hAnsi="Kristen ITC"/>
          <w:sz w:val="24"/>
          <w:szCs w:val="24"/>
        </w:rPr>
        <w:t xml:space="preserve"> anticipato, la recente normativa ha optato per l’unificazione in capo ad un unico soggetto delle funzioni di Responsabile della prevenzione della corruzione e della trasparenza, anche in coerenza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6 Pubblicato in GU SG n. 233 del 7.10.2015.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18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proofErr w:type="gramStart"/>
      <w:r w:rsidRPr="00EC6EF6">
        <w:rPr>
          <w:rFonts w:ascii="Kristen ITC" w:hAnsi="Kristen ITC"/>
          <w:sz w:val="24"/>
          <w:szCs w:val="24"/>
        </w:rPr>
        <w:t>alla</w:t>
      </w:r>
      <w:proofErr w:type="gramEnd"/>
      <w:r w:rsidRPr="00EC6EF6">
        <w:rPr>
          <w:rFonts w:ascii="Kristen ITC" w:hAnsi="Kristen ITC"/>
          <w:sz w:val="24"/>
          <w:szCs w:val="24"/>
        </w:rPr>
        <w:t xml:space="preserve"> ormai completa integrazione della definizione organizzativa dei flussi informativi per la pubblicazione dei dati di cui al d.lgs. 33/2013 all’interno del PTPC e della eliminazione della predisposizione di un autonomo Programma triennale per la trasparenza e l’integrità. In via generale, per declinare i criteri di scelta del Responsabile è importante tenere conto dell’estensione definitiva delle sue competenze anche alla materia della trasparenza.  L’art. 1, co. 7, della l. 190/2012, come novellato, prevede che «l’organo di indirizzo individua, di norma tra i dirigenti di ruolo in servizio il responsabile della prevenzione della corruzione e della trasparenza…» (41, co. 1, </w:t>
      </w:r>
      <w:proofErr w:type="spellStart"/>
      <w:r w:rsidRPr="00EC6EF6">
        <w:rPr>
          <w:rFonts w:ascii="Kristen ITC" w:hAnsi="Kristen ITC"/>
          <w:sz w:val="24"/>
          <w:szCs w:val="24"/>
        </w:rPr>
        <w:t>lett</w:t>
      </w:r>
      <w:proofErr w:type="spellEnd"/>
      <w:r w:rsidRPr="00EC6EF6">
        <w:rPr>
          <w:rFonts w:ascii="Kristen ITC" w:hAnsi="Kristen ITC"/>
          <w:sz w:val="24"/>
          <w:szCs w:val="24"/>
        </w:rPr>
        <w:t xml:space="preserve">. f, d.lgs. 97/2016). Viene superata la precedente disposizione che considerava in via prioritaria i dirigenti amministrativi di prima fascia quali soggetti idonei all’incarico. Tale nuovo orientamento, che risponde a </w:t>
      </w:r>
      <w:r w:rsidRPr="00EC6EF6">
        <w:rPr>
          <w:rFonts w:ascii="Kristen ITC" w:hAnsi="Kristen ITC"/>
          <w:sz w:val="24"/>
          <w:szCs w:val="24"/>
        </w:rPr>
        <w:lastRenderedPageBreak/>
        <w:t xml:space="preserve">esigenze di amministrazioni con un numero ridotto di dirigenti di vertice, è tuttavia opportuno sia letto in relazione alla necessità che il RPCT debba poter adeguatamente svolgere il proprio ruolo con effettività e poteri di interlocuzione reali con gli organi di indirizzo e con l’intera struttura amministrativa. Laddove possibile, pertanto, è altamente consigliabile mantenere in capo a dirigenti di prima fascia, o equiparati, l’incarico di RPCT. La nomina di un dipendente con qualifica non dirigenziale deve essere adeguatamente motivata con riferimento alle caratteristiche dimensionali e organizzative dell’ente. Poiché il legislatore ha ribadito che l’incarico di RPCT sia attribuito di norma a un dirigente di ruolo in servizio, è da considerare come un’assoluta eccezione la nomina di un dirigente esterno, con onere di una congrua e analitica motivazione anche in ordine all’assenza di soggetti aventi i requisiti previsti dalla legge. Resta quindi ferma la sicura preferenza per personale dipendente dell’amministrazione, che assicuri stabilità ai fini dello svolgimento dei compiti. Considerata la posizione di autonomia che deve essere assicurata al RPCT, e il ruolo di garanzia sull’effettività del sistema di prevenzione della corruzione, non appare coerente con i requisiti di legge la nomina di un dirigente che provenga direttamente da uffici di diretta collaborazione con l’organo di indirizzo laddove esista un vincolo fiduciario. Si evidenzia, inoltre, l’esigenza che il RPCT abbia adeguata conoscenza dell’organizzazione e del funzionamento dell’amministrazione, sia dotato della necessaria autonomia valutativa, che non sia in una posizione che presenti profili di conflitto di interessi e scelto, di norma, tra i dirigenti non assegnati ad uffici che svolgano attività di gestione e di amministrazione attiva. In questa ottica va evitato, per quanto possibile, che il RPCT sia scelto tra i dirigenti assegnati a uffici che svolgono attività nei settori più esposti al rischio corruttivo, come l’ufficio contratti o quello preposto alla gestione del patrimonio. Per il tipo di funzioni svolte dal RPCT, improntate alla collaborazione e all’interlocuzione con gli uffici, occorre valutare con molta attenzione la possibilità che il RPCT sia il dirigente che si occupa dell’ufficio procedimenti disciplinari. Questa soluzione, peraltro, sembra ora preclusa da quanto previsto nel nuovo co. 7 dell’art. 1, l. 190/2012 secondo cui il Responsabile della prevenzione della corruzione e della trasparenza indica «agli uffici competenti all’esercizio dell’azione disciplinare» i nominativi dei dipendenti che non hanno attuato correttamente le misure in materia di prevenzione della corruzione e della trasparenza. A questo riguardo, si ritiene che la comunicazione agli uffici competenti all’esercizio dell’azione disciplinare debba essere preceduta, nel rispetto del principio del contraddittorio, da un’interlocuzione formalizzata con l’interessato. Parimenti, il RPCT deve essere una persona che abbia sempre </w:t>
      </w:r>
      <w:r w:rsidRPr="00EC6EF6">
        <w:rPr>
          <w:rFonts w:ascii="Kristen ITC" w:hAnsi="Kristen ITC"/>
          <w:sz w:val="24"/>
          <w:szCs w:val="24"/>
        </w:rPr>
        <w:lastRenderedPageBreak/>
        <w:t xml:space="preserve">mantenuto una condotta integerrima, escludendo coloro che siano stati destinatari di provvedimenti giudiziali di condanna o provvedimenti disciplinari.  Alla luce di quanto sopra è rimessa agli organi di indirizzo delle amministrazioni, cui compete la nomina, in relazione alle caratteristiche strutturali dell’ente e sulla base dell’autonomia organizzativa, la valutazione in ordine alla scelta del RPCT, compatibilmente con i vincoli posti dal legislatore in materia di dotazione organica.  Nella nuova normativa rimane la previsione che negli enti locali, la scelta ricada, di norma, sul segretario, in continuità con l’orientamento delineato nel previgente art. 1, co. 7, della l. 190/2012. Tuttavia, considerate le modifiche normative previste dalla l. 124/2015 che interessano le figure dei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19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proofErr w:type="gramStart"/>
      <w:r w:rsidRPr="00EC6EF6">
        <w:rPr>
          <w:rFonts w:ascii="Kristen ITC" w:hAnsi="Kristen ITC"/>
          <w:sz w:val="24"/>
          <w:szCs w:val="24"/>
        </w:rPr>
        <w:t>segretari</w:t>
      </w:r>
      <w:proofErr w:type="gramEnd"/>
      <w:r w:rsidRPr="00EC6EF6">
        <w:rPr>
          <w:rFonts w:ascii="Kristen ITC" w:hAnsi="Kristen ITC"/>
          <w:sz w:val="24"/>
          <w:szCs w:val="24"/>
        </w:rPr>
        <w:t xml:space="preserve">, il d.lgs. 97/2016 ha espressamente contemplato la possibilità di affidare l’incarico anche a un dirigente apicale, salva una diversa e motivata determinazione dell’ente. Per quanto riguarda le unioni di comuni, è prevista la possibilità di nominare un unico responsabile. Al riguardo si rinvia all’approfondimento del presente PNA riguardante i piccoli comuni (§ 3.1.2) in cui si dà conto anche delle indicazioni in questo senso della l. 56/2014 e del d.lgs. 97/2016. In caso di carenza di posizioni dirigenziali, soprattutto per gli enti di piccole dimensioni, può essere individuato un dipendente con posizione organizzativa, fermo restando quanto sopra esposto nel caso di nomina di dipendenti con qualifica non dirigenziale.  Nelle società controllate e negli altri soggetti di cui all’art.2-bis, co. 2, del d.lgs. 33/2013 Per le società controllate e gli altri soggetti indicati all’art. 2-bis, co. 2, del d.lgs. 33/2013, si osserva che l’obbligo di adottare misure di prevenzione integrative del modello organizzativo e gestionale ex d.lgs. 231/2001, espressamente previsto al co. 2-bis della l. 190/2012, a seguito del recente intervento di modifica, risulta del tutto coerente con la linea interpretativa già suggerita dall’Autorità nella determinazione n. 8 del 2015 a cui si rinvia.  L’Autorità si riserva di formulare ulteriori indicazioni al riguardo, a seguito dell’emanazione delle norme attuative dell’art. 18 della l. 124/2015 in materia di società pubbliche (schema di testo unico). Si rammenta l’obbligo di comunicare all’ANAC i nominativi dei RPCT, utilizzando il modulo pubblicato sul sito istituzionale dell’Autorità. b) Posizione di indipendenza e di autonomia dall’organo di indirizzo L'intento principale del legislatore, nelle modifiche apportate alla l. 190/2012 (art. 41, co. 1 </w:t>
      </w:r>
      <w:proofErr w:type="spellStart"/>
      <w:r w:rsidRPr="00EC6EF6">
        <w:rPr>
          <w:rFonts w:ascii="Kristen ITC" w:hAnsi="Kristen ITC"/>
          <w:sz w:val="24"/>
          <w:szCs w:val="24"/>
        </w:rPr>
        <w:t>lett</w:t>
      </w:r>
      <w:proofErr w:type="spellEnd"/>
      <w:r w:rsidRPr="00EC6EF6">
        <w:rPr>
          <w:rFonts w:ascii="Kristen ITC" w:hAnsi="Kristen ITC"/>
          <w:sz w:val="24"/>
          <w:szCs w:val="24"/>
        </w:rPr>
        <w:t xml:space="preserve">. f) d.lgs. 97/2016), è </w:t>
      </w:r>
      <w:r w:rsidRPr="00EC6EF6">
        <w:rPr>
          <w:rFonts w:ascii="Kristen ITC" w:hAnsi="Kristen ITC"/>
          <w:sz w:val="24"/>
          <w:szCs w:val="24"/>
        </w:rPr>
        <w:lastRenderedPageBreak/>
        <w:t>chiaramente quello di rafforzare e tutelare il ruolo del RPCT, nel senso auspicato dall’Autorità nell’Aggiornamento 2015 al PNA. Il decreto, infatti, stabilisce che l’organo di indirizzo disponga eventuali modifiche organizzative necessarie per assicurare che al RPCT siano attribuiti funzioni e poteri idonei per lo svolgimento dell’incarico con piena autonomia ed effettività.  Inoltre, il medesimo decreto, da un lato, attribuisce al RPCT il potere di indicare agli uffici della pubblica amministrazione competenti all’esercizio dell’azione disciplinare i nominativi dei dipendenti che non hanno attuato correttamente le misure in materia di prevenzione della corruzione e di trasparenza. Dall’altro lato, stabilisce il dovere del RPCT di segnalare all’organo di indirizzo e all’OIV «le</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roofErr w:type="gramStart"/>
      <w:r w:rsidRPr="00EC6EF6">
        <w:rPr>
          <w:rFonts w:ascii="Kristen ITC" w:hAnsi="Kristen ITC"/>
          <w:sz w:val="24"/>
          <w:szCs w:val="24"/>
        </w:rPr>
        <w:t>disfunzioni</w:t>
      </w:r>
      <w:proofErr w:type="gramEnd"/>
      <w:r w:rsidRPr="00EC6EF6">
        <w:rPr>
          <w:rFonts w:ascii="Kristen ITC" w:hAnsi="Kristen ITC"/>
          <w:sz w:val="24"/>
          <w:szCs w:val="24"/>
        </w:rPr>
        <w:t xml:space="preserve"> inerenti all’attuazione delle misure in materia di prevenzione della corruzione e di trasparenza».  In considerazione dei numerosi compiti direttamente attribuiti al RPCT nei confronti del personale dell’ente, ed eventualmente per quel che concerne le disfunzioni anche nei confronti degli organi di indirizzo, è indispensabile che tra le misure organizzative da adottarsi da parte degli organi di indirizzo vi siano anche quelle dirette ad assicurare che il RPCT svolga il suo delicato compito in modo imparziale, al riparo da possibili ritorsioni, come già indicato nell’Aggiornamento 2015 al PNA. Si ribadisce l’invito a tutte le amministrazioni e ai soggetti di cui all’art. 2-bis, co. 2, del d.lgs. 33/2013 a regolare adeguatamente la materia con atti organizzativi generali (ad esempio negli enti locali il regolamento degli Uffici e dei servizi) e comunque nell’atto con il quale l’organo di indirizzo individua e nomina il RPCT.  A garanzia dello svolgimento delle funzioni del RPCT in condizioni di autonomia e indipendenza, occorre considerare anche la durata dell’incarico di RPCT che deve essere fissata tenendo conto della non esclusività della funzione. Il RPCT, infatti, come anticipato, può essere un dirigente che già svolge altri incarichi all’interno dell’amministrazione. La durata dell’incarico di RPCT in questi casi, dunque, è correlata alla durata del contratto sottostante all’incarico dirigenziale già svolto. Nelle ipotesi di riorganizzazione o di modifica del precedente incarico, quello di RPCT è opportuno che prosegua fino al termine della naturale scadenza del contratto legato al precedente incarico (o di quella che sarebbe dovuta essere la naturale scadenza) e, comunque, in coerenza di quanto previsto nel PTPC.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20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lastRenderedPageBreak/>
        <w:t xml:space="preserve">Per incrementare le garanzie del ruolo esercitato dal RPCT è intervenuta l’estensione generalizzata della previsione di doveri di segnalazione all’ANAC di eventuali misure discriminatorie - quindi non più solo in caso di revoca - dirette o indirette nei confronti del RPCT comunque collegate, direttamente o indirettamente, allo svolgimento delle sue funzioni. In tal caso l’ANAC può richiedere informazioni all’organo di indirizzo e intervenire con i poteri di cui all’art. 15, co. 3 del decreto legislativo 8 aprile 2013, n. 39 «Disposizioni in materia di </w:t>
      </w:r>
      <w:proofErr w:type="spellStart"/>
      <w:r w:rsidRPr="00EC6EF6">
        <w:rPr>
          <w:rFonts w:ascii="Kristen ITC" w:hAnsi="Kristen ITC"/>
          <w:sz w:val="24"/>
          <w:szCs w:val="24"/>
        </w:rPr>
        <w:t>inconferibilità</w:t>
      </w:r>
      <w:proofErr w:type="spellEnd"/>
      <w:r w:rsidRPr="00EC6EF6">
        <w:rPr>
          <w:rFonts w:ascii="Kristen ITC" w:hAnsi="Kristen ITC"/>
          <w:sz w:val="24"/>
          <w:szCs w:val="24"/>
        </w:rPr>
        <w:t xml:space="preserve"> e incompatibilità di incarichi presso le pubbliche amministrazioni e presso gli enti privati in controllo pubblico, a norma dell’articolo 1, commi 49 e 50, della legge 6 novembre 2012, n. 190». Inoltre, sempre a maggiore tutela del RPCT, può essere letta la novella legislativa laddove prevede l'esclusione dall'imputazione di responsabilità del RPCT (per omesso controllo, sul piano disciplinare) nei casi di ripetute violazioni delle misure di prevenzione previste dal Piano, qualora lo stesso possa provare «di avere comunicato agli uffici le misure da adottare e le relative modalità e di avere vigilato sull'osservanza del Piano» (art. 41, co. 1, </w:t>
      </w:r>
      <w:proofErr w:type="spellStart"/>
      <w:r w:rsidRPr="00EC6EF6">
        <w:rPr>
          <w:rFonts w:ascii="Kristen ITC" w:hAnsi="Kristen ITC"/>
          <w:sz w:val="24"/>
          <w:szCs w:val="24"/>
        </w:rPr>
        <w:t>lett</w:t>
      </w:r>
      <w:proofErr w:type="spellEnd"/>
      <w:r w:rsidRPr="00EC6EF6">
        <w:rPr>
          <w:rFonts w:ascii="Kristen ITC" w:hAnsi="Kristen ITC"/>
          <w:sz w:val="24"/>
          <w:szCs w:val="24"/>
        </w:rPr>
        <w:t xml:space="preserve">. l), d.lgs. 97/2016).  c) Supporto conoscitivo e operativo al </w:t>
      </w:r>
      <w:proofErr w:type="gramStart"/>
      <w:r w:rsidRPr="00EC6EF6">
        <w:rPr>
          <w:rFonts w:ascii="Kristen ITC" w:hAnsi="Kristen ITC"/>
          <w:sz w:val="24"/>
          <w:szCs w:val="24"/>
        </w:rPr>
        <w:t>RPCT  Al</w:t>
      </w:r>
      <w:proofErr w:type="gramEnd"/>
      <w:r w:rsidRPr="00EC6EF6">
        <w:rPr>
          <w:rFonts w:ascii="Kristen ITC" w:hAnsi="Kristen ITC"/>
          <w:sz w:val="24"/>
          <w:szCs w:val="24"/>
        </w:rPr>
        <w:t xml:space="preserve"> fine di garantire che il RPCT possa svolgere il proprio ruolo con autonomia ed effettività, come previsto dall’art. 41 del d.lgs. 97/2016, l’organo di indirizzo dispone «le eventuali modifiche organizzative necessarie per assicurare funzioni e poteri idonei» al RPCT.  È, dunque, altamente auspicabile, da una parte, che il RPCT sia dotato di una struttura organizzativa di supporto adeguata, per qualità del personale e per mezzi tecnici, al compito da svolgere. Dall’altra, che vengano assicurati al RPCT poteri effettivi, preferibilmente con una specifica formalizzazione nell’atto di nomina, di interlocuzione nei confronti di tutta la struttura, sia nella fase della predisposizione del Piano e delle misure sia in quella del controllo sulle stesse.  Per quanto riguarda gli aspetti organizzativi, ferma restando l’autonomia di ogni amministrazione o ente, appare necessaria la costituzione di un apposito ufficio dedicato allo svolgimento delle funzioni poste in capo al RPCT. Ove ciò non sia possibile, è opportuno rafforzare la struttura di supporto mediante appositi atti organizzativi che consentano al RPCT di avvalersi di personale di altri uffici. Tale struttura, che potrebbe anche non essere esclusivamente dedicata a tale scopo, può, in una necessaria logica di integrazione delle attività, essere anche a disposizione di chi si occupa delle misure di miglioramento della funzionalità dell’amministrazione (si pensi, ad esempio, ai controlli interni, alle strutture di audit, alle strutture che curano la predisposizione del piano della performance). A tal riguardo, è opportuno prevedere un’integrazione di differenti competenze multidisciplinari di supporto al RPCT. Nel PTPC sono esplicitate le soluzioni </w:t>
      </w:r>
      <w:r w:rsidRPr="00EC6EF6">
        <w:rPr>
          <w:rFonts w:ascii="Kristen ITC" w:hAnsi="Kristen ITC"/>
          <w:sz w:val="24"/>
          <w:szCs w:val="24"/>
        </w:rPr>
        <w:lastRenderedPageBreak/>
        <w:t xml:space="preserve">organizzative adottate in tal senso.  La necessità di rafforzare il ruolo e la struttura organizzativa a supporto del RPCT è tanto più evidente anche alla luce delle ulteriori e rilevanti competenze in materia di accesso civico attribuite al RPCT dal d.lgs. 97/2016. In tale contesto il RPCT, oltre alla facoltà di chiedere agli uffici della relativa amministrazione informazioni sull’esito delle istanze, deve occuparsi, per espressa disposizione normativa (art. 5, co. 7, d.lgs. 33/2013, come novellato dal d.lgs. 97/2016), dei casi di riesame (sia che l’accesso riguardi dati a pubblicazione obbligatoria o meno).  d) Poteri di interlocuzione e controllo Come già evidenziato nell’Aggiornamento 2015 al PNA, nella l. 190/2012 sono stati succintamente definiti i poteri del RPCT nella sua interlocuzione con gli altri soggetti interni alle amministrazioni o enti, nonché nella sua attività di vigilanza sull’attuazione delle misure di prevenzione della corruzione.  All’art. 1, co. 9, </w:t>
      </w:r>
      <w:proofErr w:type="spellStart"/>
      <w:r w:rsidRPr="00EC6EF6">
        <w:rPr>
          <w:rFonts w:ascii="Kristen ITC" w:hAnsi="Kristen ITC"/>
          <w:sz w:val="24"/>
          <w:szCs w:val="24"/>
        </w:rPr>
        <w:t>lett</w:t>
      </w:r>
      <w:proofErr w:type="spellEnd"/>
      <w:r w:rsidRPr="00EC6EF6">
        <w:rPr>
          <w:rFonts w:ascii="Kristen ITC" w:hAnsi="Kristen ITC"/>
          <w:sz w:val="24"/>
          <w:szCs w:val="24"/>
        </w:rPr>
        <w:t xml:space="preserve">. c) è disposto che il PTPC preveda «obblighi di informazione nei confronti del RPC chiamato a vigilare sul funzionamento e sull’osservanza del Piano». Tali obblighi informativi ricadono su tutti i soggetti coinvolti, già nella fase di formazione del Piano e, poi, nelle fasi di verifica del suo funzionamento e dell’attuazione delle misure adottate. L’atto di nomina del RPCT dovrebbe essere accompagnato da un comunicato con cui si invitano tutti i dirigenti e il personale a dare allo stesso la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21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proofErr w:type="gramStart"/>
      <w:r w:rsidRPr="00EC6EF6">
        <w:rPr>
          <w:rFonts w:ascii="Kristen ITC" w:hAnsi="Kristen ITC"/>
          <w:sz w:val="24"/>
          <w:szCs w:val="24"/>
        </w:rPr>
        <w:t>necessaria</w:t>
      </w:r>
      <w:proofErr w:type="gramEnd"/>
      <w:r w:rsidRPr="00EC6EF6">
        <w:rPr>
          <w:rFonts w:ascii="Kristen ITC" w:hAnsi="Kristen ITC"/>
          <w:sz w:val="24"/>
          <w:szCs w:val="24"/>
        </w:rPr>
        <w:t xml:space="preserve"> collaborazione. Al riguardo si rammenta che l’art. 8 del </w:t>
      </w:r>
      <w:proofErr w:type="spellStart"/>
      <w:r w:rsidRPr="00EC6EF6">
        <w:rPr>
          <w:rFonts w:ascii="Kristen ITC" w:hAnsi="Kristen ITC"/>
          <w:sz w:val="24"/>
          <w:szCs w:val="24"/>
        </w:rPr>
        <w:t>d.p.r.</w:t>
      </w:r>
      <w:proofErr w:type="spellEnd"/>
      <w:r w:rsidRPr="00EC6EF6">
        <w:rPr>
          <w:rFonts w:ascii="Kristen ITC" w:hAnsi="Kristen ITC"/>
          <w:sz w:val="24"/>
          <w:szCs w:val="24"/>
        </w:rPr>
        <w:t xml:space="preserve"> 62/2013 prevede un dovere di collaborazione dei dipendenti nei confronti del RPCT, dovere la cui violazione è sanzionabile disciplinarmente e da valutare con particolare rigore. È imprescindibile, dunque, un forte coinvolgimento dell’intera struttura in tutte le fasi di predisposizione e di attuazione delle misure anticorruzione. Per la fase di elaborazione del PTPC e dei relativi aggiornamenti, lo stesso PTPC è necessario contenga regole procedurali fondate sulla responsabilizzazione degli uffici alla partecipazione attiva, sotto il coordinamento del RPCT. Ove necessario, il PTPC può rinviare la definizione di tali regole a specifici atti organizzativi interni.  Nelle modifiche apportate dal d.lgs. 97/2016 risulta evidente l’intento di rafforzare i poteri di interlocuzione e di controllo del RPCT nei confronti di tutta la struttura. Emerge più chiaramente che il RPCT deve avere la possibilità di incidere effettivamente all’interno dell’amministrazione o dell’ente e che alla responsabilità del RPCT si affiancano con maggiore decisione quelle dei soggetti che, in base alla </w:t>
      </w:r>
      <w:r w:rsidRPr="00EC6EF6">
        <w:rPr>
          <w:rFonts w:ascii="Kristen ITC" w:hAnsi="Kristen ITC"/>
          <w:sz w:val="24"/>
          <w:szCs w:val="24"/>
        </w:rPr>
        <w:lastRenderedPageBreak/>
        <w:t xml:space="preserve">programmazione del PTPC, sono responsabili dell’attuazione delle misure di prevenzione. Lo stesso d.lgs. 165/2001 all’art. 16, co. 1 </w:t>
      </w:r>
      <w:proofErr w:type="spellStart"/>
      <w:r w:rsidRPr="00EC6EF6">
        <w:rPr>
          <w:rFonts w:ascii="Kristen ITC" w:hAnsi="Kristen ITC"/>
          <w:sz w:val="24"/>
          <w:szCs w:val="24"/>
        </w:rPr>
        <w:t>lett</w:t>
      </w:r>
      <w:proofErr w:type="spellEnd"/>
      <w:r w:rsidRPr="00EC6EF6">
        <w:rPr>
          <w:rFonts w:ascii="Kristen ITC" w:hAnsi="Kristen ITC"/>
          <w:sz w:val="24"/>
          <w:szCs w:val="24"/>
        </w:rPr>
        <w:t xml:space="preserve">. l-bis) l-ter) e l-quater), prevede, d’altra parte, tra i compiti dei dirigenti di uffici dirigenziali generali quello di concorrere alla definizione di misure idonee a prevenire e a contrastare i fenomeni di corruzione fornendo anche informazioni necessarie per l’individuazione delle attività nelle quali è più elevato il rischio corruttivo e provvedendo al loro monitoraggio.  Un modello a rete, quindi, in cui il RPCT possa effettivamente esercitare poteri di programmazione, impulso e coordinamento e la cui funzionalità dipende dal coinvolgimento e dalla responsabilizzazione di tutti coloro che, a vario titolo, partecipano dell’adozione e dell’attuazione delle misure di prevenzione.  Dal d.lgs. 97/2016 risulta anche l’intento di creare maggiore comunicazione tra le attività del RPCT e in particolare quelle dell’OIV, come specificato al § 5.3. Ciò al fine di sviluppare una sinergia tra gli obiettivi di performance organizzativa e l’attuazione delle misure di prevenzione. In tal senso, si prevede, da un lato, la facoltà all’OIV di richiedere al RPCT informazioni e documenti necessari per lo svolgimento dell’attività di controllo di sua competenza (art. 41, co. 1 </w:t>
      </w:r>
      <w:proofErr w:type="spellStart"/>
      <w:r w:rsidRPr="00EC6EF6">
        <w:rPr>
          <w:rFonts w:ascii="Kristen ITC" w:hAnsi="Kristen ITC"/>
          <w:sz w:val="24"/>
          <w:szCs w:val="24"/>
        </w:rPr>
        <w:t>lett</w:t>
      </w:r>
      <w:proofErr w:type="spellEnd"/>
      <w:r w:rsidRPr="00EC6EF6">
        <w:rPr>
          <w:rFonts w:ascii="Kristen ITC" w:hAnsi="Kristen ITC"/>
          <w:sz w:val="24"/>
          <w:szCs w:val="24"/>
        </w:rPr>
        <w:t xml:space="preserve">. h), d.lgs. 97/2016). Dall’altro lato, si prevede che la relazione annuale del RPCT, recante i risultati dell’attività svolta da pubblicare nel sito web dell’amministrazione, venga trasmessa oltre che all’organo di indirizzo dell’amministrazione anche all’OIV (art. 41, co. 1, </w:t>
      </w:r>
      <w:proofErr w:type="spellStart"/>
      <w:r w:rsidRPr="00EC6EF6">
        <w:rPr>
          <w:rFonts w:ascii="Kristen ITC" w:hAnsi="Kristen ITC"/>
          <w:sz w:val="24"/>
          <w:szCs w:val="24"/>
        </w:rPr>
        <w:t>lett</w:t>
      </w:r>
      <w:proofErr w:type="spellEnd"/>
      <w:r w:rsidRPr="00EC6EF6">
        <w:rPr>
          <w:rFonts w:ascii="Kristen ITC" w:hAnsi="Kristen ITC"/>
          <w:sz w:val="24"/>
          <w:szCs w:val="24"/>
        </w:rPr>
        <w:t xml:space="preserve">. l), d.lgs. 97/2016). e) </w:t>
      </w:r>
      <w:proofErr w:type="gramStart"/>
      <w:r w:rsidRPr="00EC6EF6">
        <w:rPr>
          <w:rFonts w:ascii="Kristen ITC" w:hAnsi="Kristen ITC"/>
          <w:sz w:val="24"/>
          <w:szCs w:val="24"/>
        </w:rPr>
        <w:t>Responsabilità  Le</w:t>
      </w:r>
      <w:proofErr w:type="gramEnd"/>
      <w:r w:rsidRPr="00EC6EF6">
        <w:rPr>
          <w:rFonts w:ascii="Kristen ITC" w:hAnsi="Kristen ITC"/>
          <w:sz w:val="24"/>
          <w:szCs w:val="24"/>
        </w:rPr>
        <w:t xml:space="preserve"> modifiche apportate dal d.lgs. 97/2016 precisano che in caso di ripetute violazioni del PTPC sussiste la responsabilità dirigenziale e per omesso controllo, sul piano disciplinare, se il RPCT non prova di aver comunicato agli uffici le misure da adottare e le relative modalità e di aver vigilato sull’osservanza del Piano. I dirigenti, pertanto, rispondono della mancata attuazione delle misure di prevenzione della corruzione, ove il RPCT dimostri di avere effettuato le dovute comunicazioni agli uffici e di avere vigilato sull’osservanza del Piano.  Resta immutata, in capo al RPCT, la responsabilità di tipo dirigenziale, disciplinare, per danno erariale e all’immagine della pubblica amministrazione, prevista all’art. 1, co. 12, della l. 190/2012, in caso di commissione di un reato di corruzione, accertato con sentenza passata in giudicato, all’interno dell’amministrazione. Il RPCT può andare esente dalla responsabilità ove dimostri di avere proposto un PTPC con misure adeguate e di aver vigilato sul funzionamento e sull’osservanza dello stesso. f) RPCT e </w:t>
      </w:r>
      <w:proofErr w:type="gramStart"/>
      <w:r w:rsidRPr="00EC6EF6">
        <w:rPr>
          <w:rFonts w:ascii="Kristen ITC" w:hAnsi="Kristen ITC"/>
          <w:sz w:val="24"/>
          <w:szCs w:val="24"/>
        </w:rPr>
        <w:t>RASA  Al</w:t>
      </w:r>
      <w:proofErr w:type="gramEnd"/>
      <w:r w:rsidRPr="00EC6EF6">
        <w:rPr>
          <w:rFonts w:ascii="Kristen ITC" w:hAnsi="Kristen ITC"/>
          <w:sz w:val="24"/>
          <w:szCs w:val="24"/>
        </w:rPr>
        <w:t xml:space="preserve"> fine di assicurare l’effettivo inserimento dei dati nell’Anagrafe unica delle stazioni appaltanti (AUSA)7, il RPCT è tenuto a sollecitare l’individuazione del soggetto preposto all’iscrizione e all’aggiornamento dei dati e a indicarne il nome all’interno del PTPC.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lastRenderedPageBreak/>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7 Istituita ai sensi dell’art. 33-ter del decreto legge 18 ottobre 2012, n. 179, convertito, con modificazioni, dalla legge 17 dicembre 2012, n. 221 (cfr. Comunicati del Presidente AVCP del 16 maggio e del 28 ottobre 2013).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22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Occorre considerare, infatti, che ogni stazione appaltante è tenuta a nominare il soggetto responsabile (RASA) dell’inserimento e dell’aggiornamento annuale degli elementi identificativi della stazione appaltante stessa. Si evidenzia, al riguardo, che tale obbligo informativo - consistente nella implementazione della BDNCP presso l’ANAC dei dati relativi all’anagrafica della s.a., della classificazione della stessa e dell’articolazione in centri di costo - sussiste fino alla data di entrata in vigore del sistema di qualificazione delle stazioni appaltanti previsto dall’art. 38 del nuovo Codice dei contratti pubblici (cfr. la disciplina transitoria di cui all’art. 216, co. 10, del d.lgs. 50/2016). L’individuazione del RASA è intesa come misura organizzativa di trasparenza in funzione di prevenzione della corruzione.  In caso di mancata indicazione nel PTPC del nominativo del RASA, previa richiesta di chiarimenti al RPCT, l’Autorità si riserva di esercitare il potere di ordine ai sensi dell’art. 1, co. 3, della l. 190/2012, nei confronti dell’organo amministrativo di vertice, che, nel silenzio del legislatore, si ritiene il soggetto più idoneo a rispondere dell’eventuale mancata nomina del RASA. Nel caso di omissione da parte del RPCT, il potere di ordine viene esercitato nei confronti di quest’ultimo. Resta salva la facoltà delle amministrazioni, nell’ambito della propria autonomia organizzativa, di valutare l’opportunità di attribuire a un unico soggetto entrambi i ruoli (RASA e RPCT) con le diverse funzioni previste, rispettivamente, dal </w:t>
      </w:r>
      <w:proofErr w:type="spellStart"/>
      <w:r w:rsidRPr="00EC6EF6">
        <w:rPr>
          <w:rFonts w:ascii="Kristen ITC" w:hAnsi="Kristen ITC"/>
          <w:sz w:val="24"/>
          <w:szCs w:val="24"/>
        </w:rPr>
        <w:t>d.l.</w:t>
      </w:r>
      <w:proofErr w:type="spellEnd"/>
      <w:r w:rsidRPr="00EC6EF6">
        <w:rPr>
          <w:rFonts w:ascii="Kristen ITC" w:hAnsi="Kristen ITC"/>
          <w:sz w:val="24"/>
          <w:szCs w:val="24"/>
        </w:rPr>
        <w:t xml:space="preserve"> 179/2012 e dalla normativa sulla trasparenza, in relazione alle dimensioni e alla complessità della propria struttura. g) Eventuali “</w:t>
      </w:r>
      <w:proofErr w:type="gramStart"/>
      <w:r w:rsidRPr="00EC6EF6">
        <w:rPr>
          <w:rFonts w:ascii="Kristen ITC" w:hAnsi="Kristen ITC"/>
          <w:sz w:val="24"/>
          <w:szCs w:val="24"/>
        </w:rPr>
        <w:t>referenti”  Come</w:t>
      </w:r>
      <w:proofErr w:type="gramEnd"/>
      <w:r w:rsidRPr="00EC6EF6">
        <w:rPr>
          <w:rFonts w:ascii="Kristen ITC" w:hAnsi="Kristen ITC"/>
          <w:sz w:val="24"/>
          <w:szCs w:val="24"/>
        </w:rPr>
        <w:t xml:space="preserve"> già chiarito nell’Aggiornamento 2015 al PNA, eventuali “referenti” del RPCT devono essere individuati nel PTPC. I referenti possono rivelarsi utili nelle organizzazioni particolarmente complesse, quali, ad esempio, un Ministero dotato di una rete di uffici periferici. Fermo restando il regime delle responsabilità in capo al RPCT, i referenti possono svolgere attività informativa nei confronti del responsabile, affinché questi abbia elementi e riscontri per la formazione e il monitoraggio del PTPC e sull’attuazione delle misure. La stessa soluzione non è opportuna, invece, nelle strutture meno </w:t>
      </w:r>
      <w:r w:rsidRPr="00EC6EF6">
        <w:rPr>
          <w:rFonts w:ascii="Kristen ITC" w:hAnsi="Kristen ITC"/>
          <w:sz w:val="24"/>
          <w:szCs w:val="24"/>
        </w:rPr>
        <w:lastRenderedPageBreak/>
        <w:t xml:space="preserve">complesse nelle quali il successo del PTPC e delle sue misure è affidato alla diretta interlocuzione tra RPCT e responsabili degli uffici.  Nelle Linee guida di cui alla determinazione n. 8/2015 sugli enti di diritto privato, è stata prevista la possibilità di nominare referenti del RPCT nelle società di ridotte dimensioni appartenenti ad un gruppo societario, laddove sia </w:t>
      </w:r>
      <w:proofErr w:type="spellStart"/>
      <w:r w:rsidRPr="00EC6EF6">
        <w:rPr>
          <w:rFonts w:ascii="Kristen ITC" w:hAnsi="Kristen ITC"/>
          <w:sz w:val="24"/>
          <w:szCs w:val="24"/>
        </w:rPr>
        <w:t>stato</w:t>
      </w:r>
      <w:proofErr w:type="spellEnd"/>
      <w:r w:rsidRPr="00EC6EF6">
        <w:rPr>
          <w:rFonts w:ascii="Kristen ITC" w:hAnsi="Kristen ITC"/>
          <w:sz w:val="24"/>
          <w:szCs w:val="24"/>
        </w:rPr>
        <w:t xml:space="preserve"> predisposta un’unica programmazione delle misure di prevenzione ex l. 190/2012 da parte del RPCT della capogruppo.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5.3 Organismi indipendenti di </w:t>
      </w:r>
      <w:proofErr w:type="gramStart"/>
      <w:r w:rsidRPr="00EC6EF6">
        <w:rPr>
          <w:rFonts w:ascii="Kristen ITC" w:hAnsi="Kristen ITC"/>
          <w:sz w:val="24"/>
          <w:szCs w:val="24"/>
        </w:rPr>
        <w:t>valutazione  Gli</w:t>
      </w:r>
      <w:proofErr w:type="gramEnd"/>
      <w:r w:rsidRPr="00EC6EF6">
        <w:rPr>
          <w:rFonts w:ascii="Kristen ITC" w:hAnsi="Kristen ITC"/>
          <w:sz w:val="24"/>
          <w:szCs w:val="24"/>
        </w:rPr>
        <w:t xml:space="preserve"> Organismi indipendenti di valutazione (OIV) rivestono un ruolo importante nel sistema di gestione della performance e della trasparenza nelle pubbliche amministrazioni, svolgendo i compiti previsti dall’art. 14 del decreto legislativo 27 ottobre 2009, n. 150. Al riguardo si rinvia al </w:t>
      </w:r>
      <w:proofErr w:type="spellStart"/>
      <w:r w:rsidRPr="00EC6EF6">
        <w:rPr>
          <w:rFonts w:ascii="Kristen ITC" w:hAnsi="Kristen ITC"/>
          <w:sz w:val="24"/>
          <w:szCs w:val="24"/>
        </w:rPr>
        <w:t>d.p.r.</w:t>
      </w:r>
      <w:proofErr w:type="spellEnd"/>
      <w:r w:rsidRPr="00EC6EF6">
        <w:rPr>
          <w:rFonts w:ascii="Kristen ITC" w:hAnsi="Kristen ITC"/>
          <w:sz w:val="24"/>
          <w:szCs w:val="24"/>
        </w:rPr>
        <w:t xml:space="preserve"> del 9 maggio 2016, n. 105 «Regolamento di disciplina delle funzioni del Dipartimento della funzione pubblica della Presidenza del Consiglio dei Ministri in materia di misurazione e valutazione della performance delle amministrazioni pubbliche» e, in particolare all’art. 6. Gli OIV validano la relazione sulle performance, di cui all’art. 10 del d.lgs. 150/2009, dove sono riportati i risultati raggiunti rispetto a quelli programmati e alle risorse; propongono all’organo di indirizzo la valutazione dei dirigenti; promuovono e attestano l’assolvimento degli obblighi di trasparenza (art. 14, co. 1, </w:t>
      </w:r>
      <w:proofErr w:type="spellStart"/>
      <w:r w:rsidRPr="00EC6EF6">
        <w:rPr>
          <w:rFonts w:ascii="Kristen ITC" w:hAnsi="Kristen ITC"/>
          <w:sz w:val="24"/>
          <w:szCs w:val="24"/>
        </w:rPr>
        <w:t>lett</w:t>
      </w:r>
      <w:proofErr w:type="spellEnd"/>
      <w:r w:rsidRPr="00EC6EF6">
        <w:rPr>
          <w:rFonts w:ascii="Kristen ITC" w:hAnsi="Kristen ITC"/>
          <w:sz w:val="24"/>
          <w:szCs w:val="24"/>
        </w:rPr>
        <w:t xml:space="preserve">. g), d.lgs. 150/2009).  La connessione fra gli obiettivi di performance e le misure di trasparenza ha trovato conferma nel d.lgs. 33/2013, ove si è affermato che la promozione di maggiori livelli di trasparenza costituisce un obiettivo strategico di ogni amministrazione (art. 10). Gli OIV sono tenuti a verificare la coerenza tra gli obiettivi di trasparenza e quelli indicati nel piano della performance, utilizzando altresì i dati relativi all’attuazione degli obblighi di trasparenza ai fini della valutazione delle performance (art. 44). L’attività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23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proofErr w:type="gramStart"/>
      <w:r w:rsidRPr="00EC6EF6">
        <w:rPr>
          <w:rFonts w:ascii="Kristen ITC" w:hAnsi="Kristen ITC"/>
          <w:sz w:val="24"/>
          <w:szCs w:val="24"/>
        </w:rPr>
        <w:t>di</w:t>
      </w:r>
      <w:proofErr w:type="gramEnd"/>
      <w:r w:rsidRPr="00EC6EF6">
        <w:rPr>
          <w:rFonts w:ascii="Kristen ITC" w:hAnsi="Kristen ITC"/>
          <w:sz w:val="24"/>
          <w:szCs w:val="24"/>
        </w:rPr>
        <w:t xml:space="preserve"> controllo sull’adempimento degli obblighi di pubblicazione, posta in capo al RPCT, è svolta con il coinvolgimento dell’OIV, al quale il RPCT segnala i casi di mancato o ritardato adempimento (art. 43). Resta fermo il compito degli OIV concernente l’attestazione dell’assolvimento degli obblighi di trasparenza, previsto dal d.lgs. 150/2009.  L’OIV, inoltre, esprime parere obbligatorio sul codice di comportamento che ogni amministrazione adotta ai sensi dell’art. 54, co. 5, d.lgs. </w:t>
      </w:r>
      <w:r w:rsidRPr="00EC6EF6">
        <w:rPr>
          <w:rFonts w:ascii="Kristen ITC" w:hAnsi="Kristen ITC"/>
          <w:sz w:val="24"/>
          <w:szCs w:val="24"/>
        </w:rPr>
        <w:lastRenderedPageBreak/>
        <w:t xml:space="preserve">165/2001. Le modifiche che il d.lgs. 97/2016 ha apportato alla l. 190/2012 rafforzano le funzioni già affidate agli OIV in materia di prevenzione della corruzione e trasparenza dal d.lgs. 33/2013, anche in una logica di coordinamento con il RPCT e di relazione con l’ANAC.  In linea con quanto già disposto dall’art. 44 del d.lgs. 33/2013, detti organismi, anche ai fini della validazione della relazione sulla performance, verificano che i PTPC siano coerenti con gli obiettivi stabiliti nei documenti di programmazione strategico-gestionale e, altresì, che nella misurazione e valutazione delle performance si tenga conto degli obiettivi connessi all’anticorruzione e alla trasparenza.  In rapporto agli obiettivi inerenti la prevenzione della corruzione e la trasparenza l’OIV verifica i contenuti della relazione recante i risultati dell’attività svolta che il RPCT predispone e trasmette all’OIV, oltre che all’organo di indirizzo, ai sensi dell’art. 1, co. 14, della l. 190/2012. Nell’ambito di tale verifica l’OIV ha la possibilità di chiedere al RPCT informazioni e documenti che ritiene necessari ed effettuare audizioni di dipendenti (art. 1, co. 8-bis, l. 190/2012).  Nell’ambito dei poteri di vigilanza e controllo attribuiti all’ANAC, l’Autorità si riserva di chiedere informazioni tanto all’OIV quanto al RPCT in merito allo stato di attuazione delle misure di prevenzione della corruzione e trasparenza (art. 1, co. 8-bis, l. 190/2012), anche tenuto conto che l’OIV riceve dal RPCT le segnalazioni riguardanti eventuali disfunzioni inerenti l’attuazione dei PTPC (art. 1, co. 7, l. 190/2012). Ciò in linea di continuità con quanto già disposto dall’art. 45, co. 2, del d.lgs. 33/2013, ove è prevista la possibilità per l’ANAC di coinvolgere l’OIV per acquisire ulteriori informazioni sul controllo dell’esatto adempimento degli obblighi di trasparenza.  Ulteriori indicazioni sull’attività degli OIV in materia di prevenzione della corruzione e di trasparenza potranno essere oggetto di atti di regolamentazione da valutarsi congiuntamente al Dipartimento della funzione pubblica.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6. Gestione del rischio di </w:t>
      </w:r>
      <w:proofErr w:type="gramStart"/>
      <w:r w:rsidRPr="00EC6EF6">
        <w:rPr>
          <w:rFonts w:ascii="Kristen ITC" w:hAnsi="Kristen ITC"/>
          <w:sz w:val="24"/>
          <w:szCs w:val="24"/>
        </w:rPr>
        <w:t>corruzione  Partendo</w:t>
      </w:r>
      <w:proofErr w:type="gramEnd"/>
      <w:r w:rsidRPr="00EC6EF6">
        <w:rPr>
          <w:rFonts w:ascii="Kristen ITC" w:hAnsi="Kristen ITC"/>
          <w:sz w:val="24"/>
          <w:szCs w:val="24"/>
        </w:rPr>
        <w:t xml:space="preserve"> dalla considerazione che gli strumenti previsti dalla normativa anticorruzione richiedono un impegno costante anche in termini di comprensione effettiva della loro portata da parte delle amministrazioni per produrre gli effetti sperati, l’Autorità in questa fase ha deciso di confermare le indicazione già date con il PNA 2013 e con l’Aggiornamento 2015 al PNA per quel che concerne la metodologia di analisi e valutazione dei rischi. Sono indicazioni centrali per la corretta progettazione di misure di prevenzione contestualizzate rispetto all’ente di riferimento. In particolare l’Autorità ribadisce quanto già precisato a proposito delle caratteristiche delle misure di prevenzione </w:t>
      </w:r>
      <w:r w:rsidRPr="00EC6EF6">
        <w:rPr>
          <w:rFonts w:ascii="Kristen ITC" w:hAnsi="Kristen ITC"/>
          <w:sz w:val="24"/>
          <w:szCs w:val="24"/>
        </w:rPr>
        <w:lastRenderedPageBreak/>
        <w:t>della corruzione che devono essere adeguatamente progettate, sostenibili e verificabili. È inoltre necessario che siano individuati i soggetti attuatori, le modalità di attuazione di monitoraggio e i relativi termini.  Alcune semplificazioni, per i comuni di piccole dimensioni, sono possibili grazie al supporto tecnico e informativo delle Prefetture in termini di analisi dei dati del contesto esterno.  Fermo restando che, come anche specificato nel PNA 2013 (</w:t>
      </w:r>
      <w:proofErr w:type="spellStart"/>
      <w:r w:rsidRPr="00EC6EF6">
        <w:rPr>
          <w:rFonts w:ascii="Kristen ITC" w:hAnsi="Kristen ITC"/>
          <w:sz w:val="24"/>
          <w:szCs w:val="24"/>
        </w:rPr>
        <w:t>All</w:t>
      </w:r>
      <w:proofErr w:type="spellEnd"/>
      <w:r w:rsidRPr="00EC6EF6">
        <w:rPr>
          <w:rFonts w:ascii="Kristen ITC" w:hAnsi="Kristen ITC"/>
          <w:sz w:val="24"/>
          <w:szCs w:val="24"/>
        </w:rPr>
        <w:t xml:space="preserve">. 1, p. 24) e nell’Aggiornamento 2015 al PNA, le indicazioni metodologiche non sono vincolanti, con successive linee guida l’Autorità si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24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proofErr w:type="gramStart"/>
      <w:r w:rsidRPr="00EC6EF6">
        <w:rPr>
          <w:rFonts w:ascii="Kristen ITC" w:hAnsi="Kristen ITC"/>
          <w:sz w:val="24"/>
          <w:szCs w:val="24"/>
        </w:rPr>
        <w:t>riserva</w:t>
      </w:r>
      <w:proofErr w:type="gramEnd"/>
      <w:r w:rsidRPr="00EC6EF6">
        <w:rPr>
          <w:rFonts w:ascii="Kristen ITC" w:hAnsi="Kristen ITC"/>
          <w:sz w:val="24"/>
          <w:szCs w:val="24"/>
        </w:rPr>
        <w:t xml:space="preserve"> di apportare le modifiche necessarie al sistema di misurazione.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7. Azioni e misure per la prevenzione Fermo restando quanto già riportato nel PNA 2013 e nell’Aggiornamento 2015 al PNA, l’Autorità ha inteso, in questa sede, dare alcune indicazioni più specifiche sulla misura della trasparenza, in relazione alle modifiche apportate al d.lgs. 33/2013 dal d.lgs. 97/2016, sulla rotazione del personale nonché sulle misure di revisione dei processi di privatizzazione e esternalizzazione di funzioni, attività strumentali e servizi pubblici. In materia di </w:t>
      </w:r>
      <w:proofErr w:type="spellStart"/>
      <w:r w:rsidRPr="00EC6EF6">
        <w:rPr>
          <w:rFonts w:ascii="Kristen ITC" w:hAnsi="Kristen ITC"/>
          <w:sz w:val="24"/>
          <w:szCs w:val="24"/>
        </w:rPr>
        <w:t>inconferibilità</w:t>
      </w:r>
      <w:proofErr w:type="spellEnd"/>
      <w:r w:rsidRPr="00EC6EF6">
        <w:rPr>
          <w:rFonts w:ascii="Kristen ITC" w:hAnsi="Kristen ITC"/>
          <w:sz w:val="24"/>
          <w:szCs w:val="24"/>
        </w:rPr>
        <w:t xml:space="preserve"> e incompatibilità degli incarichi, in considerazione dei problemi applicativi registrati, e sulla tutela del dipendente pubblico che sagnala illeciti (c.d. </w:t>
      </w:r>
      <w:proofErr w:type="spellStart"/>
      <w:r w:rsidRPr="00EC6EF6">
        <w:rPr>
          <w:rFonts w:ascii="Kristen ITC" w:hAnsi="Kristen ITC"/>
          <w:sz w:val="24"/>
          <w:szCs w:val="24"/>
        </w:rPr>
        <w:t>whistleblowing</w:t>
      </w:r>
      <w:proofErr w:type="spellEnd"/>
      <w:r w:rsidRPr="00EC6EF6">
        <w:rPr>
          <w:rFonts w:ascii="Kristen ITC" w:hAnsi="Kristen ITC"/>
          <w:sz w:val="24"/>
          <w:szCs w:val="24"/>
        </w:rPr>
        <w:t xml:space="preserve">), l’Autorità ha adottato apposite Linee guida a cui viene fatto rinvio.  Per quel che concerne i codici di comportamento, si richiama quanto già previsto nell’Aggiornamento 2015 al PNA circa i loro contenuti e la loro valenza. In particolare si ribadisce che gli enti sono tenuti all’adozione di codici che contengano norme e doveri di comportamento destinati a durare nel tempo, da calibrare in relazione alla peculiarità delle finalità istituzionali perseguite dalle singole amministrazioni: non quindi una generica ripetizione dei contenuti del codice di cui al </w:t>
      </w:r>
      <w:proofErr w:type="spellStart"/>
      <w:r w:rsidRPr="00EC6EF6">
        <w:rPr>
          <w:rFonts w:ascii="Kristen ITC" w:hAnsi="Kristen ITC"/>
          <w:sz w:val="24"/>
          <w:szCs w:val="24"/>
        </w:rPr>
        <w:t>d.p.r.</w:t>
      </w:r>
      <w:proofErr w:type="spellEnd"/>
      <w:r w:rsidRPr="00EC6EF6">
        <w:rPr>
          <w:rFonts w:ascii="Kristen ITC" w:hAnsi="Kristen ITC"/>
          <w:sz w:val="24"/>
          <w:szCs w:val="24"/>
        </w:rPr>
        <w:t xml:space="preserve"> 62/2013, ma una disciplina che, a partire da quella generale, diversifichi i doveri dei dipendenti e di coloro che vi entrino in relazione, in funzione delle specificità di ciascuna amministrazione.  Al riguardo l’Autorità si riserva di adottare linee guida di carattere generale, ove ritenuto necessario procedere a modifiche della delibera n. 75 del 24 ottobre 2013, e linee guida per tipologia di amministrazioni e enti.  In questa ottica è stato già avviato un tavolo di </w:t>
      </w:r>
      <w:r w:rsidRPr="00EC6EF6">
        <w:rPr>
          <w:rFonts w:ascii="Kristen ITC" w:hAnsi="Kristen ITC"/>
          <w:sz w:val="24"/>
          <w:szCs w:val="24"/>
        </w:rPr>
        <w:lastRenderedPageBreak/>
        <w:t xml:space="preserve">lavoro «Conflitto di interessi e Codici di comportamento» con AGENAS e Ministero della salute volto ad esaminare il livello di implementazione dei codici di comportamento negli enti del SSN destinatari del presente PNA e a fornire indicazioni migliorative. Il tavolo di lavoro ha operato un’analisi su un campione di 60 aziende ed enti del SSN rappresentativo per area geografica e per tipologia di aziende/enti. Lo studio ha messo in rilievo, a fronte di differenziazioni tra aziende nell’applicazione del </w:t>
      </w:r>
      <w:proofErr w:type="spellStart"/>
      <w:r w:rsidRPr="00EC6EF6">
        <w:rPr>
          <w:rFonts w:ascii="Kristen ITC" w:hAnsi="Kristen ITC"/>
          <w:sz w:val="24"/>
          <w:szCs w:val="24"/>
        </w:rPr>
        <w:t>d.p.r.</w:t>
      </w:r>
      <w:proofErr w:type="spellEnd"/>
      <w:r w:rsidRPr="00EC6EF6">
        <w:rPr>
          <w:rFonts w:ascii="Kristen ITC" w:hAnsi="Kristen ITC"/>
          <w:sz w:val="24"/>
          <w:szCs w:val="24"/>
        </w:rPr>
        <w:t xml:space="preserve"> 62/2013, anche la presenza di buone prassi trasferibili quali esempi di implementazione delle previsioni contenute nella normativa di settore in maniera da incidere sulle tipicità dell’organizzazione dell’ente di riferimento.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7.1 Trasparenza La trasparenza è una misura di estremo rilievo e fondamentale per la prevenzione della corruzione. Essa è posta al centro di molte indicazioni e orientamenti internazionali (cfr. § 1) in quanto strumentale alla promozione dell’integrità, allo sviluppo della cultura della legalità in ogni ambito dell’attività pubblica. L’Autorità raccomanda, quindi, alle amministrazioni e a tutti gli altri soggetti destinatari del presente PNA di rafforzare tale misura nei propri PTPC anche oltre al rispetto di specifici obblighi di pubblicazione già contenuti in disposizioni vigenti.  All’attuale quadro normativo in materia di trasparenza il d.lgs. 97/2016 ha apportato rilevanti innovazioni.  Un nuovo ambito soggettivo di applicazione degli obblighi e delle misure in materia di trasparenza è definito all’art. 2-bis rubricato «Ambito soggettivo di applicazione», che sostituisce l’art. 11 del d.lgs. 33/2013. Si rinvia in merito ai contenuti del § 3. Il decreto persegue, inoltre, l’importante obiettivo di razionalizzare gli obblighi di pubblicazione vigenti mediante la concentrazione e la riduzione degli oneri gravanti sulle amministrazioni pubbliche.  In questa direzione vanno interpretate le due misure di semplificazione introdotte all’art. 3 del d.lgs. 33/2013. La prima (co. 1-bis) prevede la possibilità di pubblicare informazioni riassuntive, elaborate per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25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proofErr w:type="gramStart"/>
      <w:r w:rsidRPr="00EC6EF6">
        <w:rPr>
          <w:rFonts w:ascii="Kristen ITC" w:hAnsi="Kristen ITC"/>
          <w:sz w:val="24"/>
          <w:szCs w:val="24"/>
        </w:rPr>
        <w:t>aggregazione</w:t>
      </w:r>
      <w:proofErr w:type="gramEnd"/>
      <w:r w:rsidRPr="00EC6EF6">
        <w:rPr>
          <w:rFonts w:ascii="Kristen ITC" w:hAnsi="Kristen ITC"/>
          <w:sz w:val="24"/>
          <w:szCs w:val="24"/>
        </w:rPr>
        <w:t xml:space="preserve">, in sostituzione della pubblicazione integrale, conferendo all’ANAC il compito di individuare i dati oggetto di pubblicazione riassuntiva con propria delibera da adottare previa consultazione pubblica e sentito il Garante per la </w:t>
      </w:r>
      <w:r w:rsidRPr="00EC6EF6">
        <w:rPr>
          <w:rFonts w:ascii="Kristen ITC" w:hAnsi="Kristen ITC"/>
          <w:sz w:val="24"/>
          <w:szCs w:val="24"/>
        </w:rPr>
        <w:lastRenderedPageBreak/>
        <w:t xml:space="preserve">protezione dei dati personali, qualora siano coinvolti dati personali. Ciò in conformità con i principi di proporzionalità e di semplificazione e all’esclusivo fine di ridurre gli oneri gravanti sui soggetti tenuti a osservare le disposizioni del d.lgs. 33/2013. La seconda (co. </w:t>
      </w:r>
      <w:proofErr w:type="gramStart"/>
      <w:r w:rsidRPr="00EC6EF6">
        <w:rPr>
          <w:rFonts w:ascii="Kristen ITC" w:hAnsi="Kristen ITC"/>
          <w:sz w:val="24"/>
          <w:szCs w:val="24"/>
        </w:rPr>
        <w:t>l</w:t>
      </w:r>
      <w:proofErr w:type="gramEnd"/>
      <w:r w:rsidRPr="00EC6EF6">
        <w:rPr>
          <w:rFonts w:ascii="Kristen ITC" w:hAnsi="Kristen ITC"/>
          <w:sz w:val="24"/>
          <w:szCs w:val="24"/>
        </w:rPr>
        <w:t xml:space="preserve">-ter) consente all’ANAC, in sede di adozione del PNA, di modulare gli obblighi di pubblicazione e le relative modalità di attuazione in relazione alla natura dei soggetti, alla loro dimensione organizzativa e alle attività svolte prevedendo, in particolare, modalità semplificate per i comuni con popolazione inferiore a 15.000 abitanti, per gli ordini e collegi professionali.  Si consideri, inoltre, quanto previsto all’art. 9-bis del d.lgs. 33/2013, introdotto dal d.lgs. 97/2016, in base al quale qualora i dati che le amministrazioni e gli enti sono tenute a pubblicare ai sensi del d.lgs. 33/2013 corrispondano a quelli già presenti nelle banche dati indicate nell’allegato B) del d.lgs. 33/2013, le amministrazioni e gli enti assolvono agli obblighi di pubblicazione mediante la comunicazione dei dati, delle informazioni e dei documenti dagli stessi detenuti all’amministrazione titolare della corrispondente banca dati. Nella sezione “Amministrazione trasparente” dei rispettivi siti istituzionali è inserito un mero collegamento ipertestuale alle banche dati contenenti i dati, le informazioni e i documenti oggetto di pubblicazione. A fronte della rimodulazione della trasparenza on line obbligatoria, l’art. 6, nel novellare l’art. 5 del d.lgs. 33/2013, ha disciplinato anche un nuovo accesso civico, molto più ampio di quello previsto dalla precedente formulazione, riconoscendo a chiunque, indipendentemente dalla titolarità di situazioni giuridicamente rilevanti, l’accesso ai dati e ai documenti detenuti dalle pubbliche amministrazioni, nel rispetto dei limiti relativi alla tutela di interessi pubblici e privati, e salvi i casi di segreto o di divieto di divulgazione previsti dall’ordinamento.  Alla luce di quanto sopra, l’Autorità si riserva di intervenire con appositi atti di regolazione. Oltre alle specifiche Linee guida dedicate alle società e agli altri enti di diritto privato partecipati, destinate alla modifica della determinazione n. 8 del 2015, questa Autorità adotterà Linee guida, sempre integrative del PNA, con le quali operare una generale ricognizione dell’ambito soggettivo e oggettivo degli obblighi di trasparenza delle p.a., in sostituzione delle Linee guida di cui alla delibera CIVIT n. 50/20138. Con riguardo al c.d. “accesso civico generalizzato”, l’Autorità è stata investita, d’intesa con il Garante per la protezione dei dati personali e sentita la Conferenza Unificata Stato, Regioni Autonomie locali di cui all’art. 8 del d.lgs. 28 agosto 1997, n. 281, della regolazione attraverso l’adozione di specifiche Linee guida recanti indicazioni operative. Dette Linee guida è previsto siano adottate entro dicembre 2016. Si precisa sin da ora che le disposizioni transitorie dettate al co. 1 dell’art. 42 del d.lgs. 97/2016 prevedono che i soggetti di cui all’art. 2-bis del d.lgs. </w:t>
      </w:r>
      <w:r w:rsidRPr="00EC6EF6">
        <w:rPr>
          <w:rFonts w:ascii="Kristen ITC" w:hAnsi="Kristen ITC"/>
          <w:sz w:val="24"/>
          <w:szCs w:val="24"/>
        </w:rPr>
        <w:lastRenderedPageBreak/>
        <w:t xml:space="preserve">33/2013 si adeguino alle modifiche allo stesso decreto legislativo, introdotte dal d.lgs. n. 97/2016, entro sei mesi dalla data di entrata in vigore del decreto correttivo medesimo (23 dicembre 2016), sia con riferimento agli obblighi di trasparenza sia all’accesso civico generalizzato. L’Autorità, come precisato sopra, si propone di supportare tali soggetti con Linee guida di generale ricognizione degli obblighi di pubblicazione.  Fino al 23 dicembre 2016 resta ferma la disciplina vigente e l’attività di vigilanza dell’ANAC avrà a oggetto gli obblighi di trasparenza non modificati dal d.lgs. 97/2016. Invece, sui nuovi obblighi e su quelli oggetto di modifica da parte del d.lgs. 97/2016, l’attività di vigilanza sarà svolta nella fase immediatamente successiva al termine del periodo di adeguamento. Non sono considerati modificati gli obblighi di cui all’art. 14, del d.lgs. 33/2013 riferiti allo Stato, alle Regioni e agli enti locali e quelli di cui all’art. 22, co. 2, del medesimo decreto.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8 Cfr. art. 3, co. 1-ter del d.lgs. 33/2013 introdotto dall’art. 4 del d.lgs. 97/2016.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26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Sempre in un’ottica di semplificazione e coordinamento degli strumenti di programmazione in materia di prevenzione della corruzione possono interpretarsi le modifiche all’art. 10 del d.lgs. 33/2013. In base a queste ultime il PTPC contiene, in una apposita sezione, l’individuazione dei responsabili della trasmissione e della pubblicazione dei documenti, delle informazioni e dei dati ai sensi del d.lgs. 33/2013. Si è così disposta la confluenza dei contenuti del PTTI all’interno del PTPC. Non per questo l’organizzata programmazione della trasparenza perde il suo peso: anzi, chiaramente le nuove disposizioni normative stabiliscono che devono essere indicati i soggetti cui compete la trasmissione e la pubblicazione dei dati, in un’ottica di responsabilizzazione maggiore delle strutture interne delle amministrazioni ai fini dell’effettiva realizzazione di elevati standard di trasparenza.  Si ricorda, infine, che oltre alla trasparenza intesa come misura generale quale adeguamento agli obblighi di pubblicazione previsti dal d.lgs. 33/2013 e dalla normativa vigente, le amministrazioni e gli enti possono pubblicare i c.d. “dati ulteriori”, come espressamente previsto dalla l. 190/2012, art. 1, co. 9, </w:t>
      </w:r>
      <w:proofErr w:type="spellStart"/>
      <w:r w:rsidRPr="00EC6EF6">
        <w:rPr>
          <w:rFonts w:ascii="Kristen ITC" w:hAnsi="Kristen ITC"/>
          <w:sz w:val="24"/>
          <w:szCs w:val="24"/>
        </w:rPr>
        <w:t>lett</w:t>
      </w:r>
      <w:proofErr w:type="spellEnd"/>
      <w:r w:rsidRPr="00EC6EF6">
        <w:rPr>
          <w:rFonts w:ascii="Kristen ITC" w:hAnsi="Kristen ITC"/>
          <w:sz w:val="24"/>
          <w:szCs w:val="24"/>
        </w:rPr>
        <w:t xml:space="preserve">. f) e dall’art. 7-bis, co. 3 del d.lgs. 33/2013. L’ostensione di questi dati on line deve avvenire nel rispetto della normativa sulla tutela della riservatezza e procedendo </w:t>
      </w:r>
      <w:r w:rsidRPr="00EC6EF6">
        <w:rPr>
          <w:rFonts w:ascii="Kristen ITC" w:hAnsi="Kristen ITC"/>
          <w:sz w:val="24"/>
          <w:szCs w:val="24"/>
        </w:rPr>
        <w:lastRenderedPageBreak/>
        <w:t>all’</w:t>
      </w:r>
      <w:proofErr w:type="spellStart"/>
      <w:r w:rsidRPr="00EC6EF6">
        <w:rPr>
          <w:rFonts w:ascii="Kristen ITC" w:hAnsi="Kristen ITC"/>
          <w:sz w:val="24"/>
          <w:szCs w:val="24"/>
        </w:rPr>
        <w:t>anonimizzazione</w:t>
      </w:r>
      <w:proofErr w:type="spellEnd"/>
      <w:r w:rsidRPr="00EC6EF6">
        <w:rPr>
          <w:rFonts w:ascii="Kristen ITC" w:hAnsi="Kristen ITC"/>
          <w:sz w:val="24"/>
          <w:szCs w:val="24"/>
        </w:rPr>
        <w:t xml:space="preserve"> di dati personali eventualmente presenti. Negli approfondimenti del presente PNA sono esemplificate numerose ulteriori misure specifiche di trasparenza in funzione di prevenzione della corruzione.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7.2 Rotazione Nell’ambito del PNA la rotazione del personale è considerata quale misura organizzativa preventiva finalizzata a limitare il consolidarsi di relazioni che possano alimentare dinamiche improprie nella gestione amministrativa, conseguenti alla permanenza nel tempo di determinati dipendenti nel medesimo ruolo o funzione. L’alternanza riduce il rischio che un dipendente pubblico, occupandosi per lungo tempo dello stesso tipo di attività, servizi, procedimenti e instaurando relazioni sempre con gli stessi utenti, possa essere sottoposto a pressioni esterne o possa instaurare rapporti potenzialmente in grado di attivare dinamiche inadeguate.  In generale la rotazione rappresenta anche un criterio organizzativo che può contribuire alla formazione del personale, accrescendo le conoscenze e la preparazione professionale del lavoratore. In tale direzione va anche l’esperienza del settore privato dove, a fronte di un mondo del lavoro sempre più flessibile e di rapido cambiamento delle competenze richieste, il livello di professionalità si fonda non tanto o, non solo, sulle capacità acquisite e dimostrate, ma anche su quelle potenziali e future. La rotazione è una tra le diverse misure che le amministrazioni hanno a disposizione in materia di prevenzione della corruzione. Il ricorso alla rotazione deve, infatti, essere considerato in una logica di necessaria complementarietà con le altre misure di prevenzione della corruzione specie laddove possano presentarsi difficoltà applicative sul piano organizzativo. In particolare occorre considerare che detta misura deve essere impiegata correttamente in un quadro di elevazione delle capacità professionali complessive dell’amministrazione senza determinare inefficienze e malfunzionamenti. Per le considerazioni di cui sopra, essa va vista prioritariamente come strumento ordinario di organizzazione e utilizzo ottimale delle risorse umane da non assumere in via emergenziale o con valenza punitiva e, come tale, va accompagnata e sostenuta anche da percorsi di formazione che consentano una riqualificazione professionale. Ove, pertanto, non sia possibile utilizzare la rotazione come misura di prevenzione contro la corruzione, le amministrazioni sono tenute a operare scelte organizzative, nonché ad adottare altre misure di natura preventiva che possono avere effetti analoghi, quali a titolo esemplificativo, la previsione da parte del dirigente di modalità operative che favoriscono una maggiore condivisione delle attività fra gli operatori, evitando così l’isolamento di certe mansioni, avendo cura </w:t>
      </w:r>
      <w:r w:rsidRPr="00EC6EF6">
        <w:rPr>
          <w:rFonts w:ascii="Kristen ITC" w:hAnsi="Kristen ITC"/>
          <w:sz w:val="24"/>
          <w:szCs w:val="24"/>
        </w:rPr>
        <w:lastRenderedPageBreak/>
        <w:t xml:space="preserve">di favorire la trasparenza “interna” delle attività o ancora l’articolazione delle competenze, c.d. “segregazione delle funzioni”. Restano, naturalmente, ferme le discipline speciali di rotazione previste per particolari categorie di personale non contrattualizzato.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27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7.2.1 Inquadramento normativo: rotazione ordinaria e straordinaria La rotazione del personale all’interno delle pubbliche amministrazioni nelle aree a più elevato rischio di corruzione è stata introdotta come misura di prevenzione della corruzione dall’art. 1, co. 5, </w:t>
      </w:r>
      <w:proofErr w:type="spellStart"/>
      <w:r w:rsidRPr="00EC6EF6">
        <w:rPr>
          <w:rFonts w:ascii="Kristen ITC" w:hAnsi="Kristen ITC"/>
          <w:sz w:val="24"/>
          <w:szCs w:val="24"/>
        </w:rPr>
        <w:t>lett</w:t>
      </w:r>
      <w:proofErr w:type="spellEnd"/>
      <w:r w:rsidRPr="00EC6EF6">
        <w:rPr>
          <w:rFonts w:ascii="Kristen ITC" w:hAnsi="Kristen ITC"/>
          <w:sz w:val="24"/>
          <w:szCs w:val="24"/>
        </w:rPr>
        <w:t xml:space="preserve">. b) della l. 190/2012, ai sensi del quale le pubbliche amministrazioni devono definire e trasmettere all’ANAC «procedure appropriate per selezionare e formare, in collaborazione con la Scuola superiore della pubblica amministrazione, i dipendenti chiamati ad operare in settori particolarmente esposti alla corruzione, prevedendo, negli stessi settori, la rotazione di dirigenti e funzionari». Inoltre, secondo quanto disposto dall’art. 1, co. 10, </w:t>
      </w:r>
      <w:proofErr w:type="spellStart"/>
      <w:r w:rsidRPr="00EC6EF6">
        <w:rPr>
          <w:rFonts w:ascii="Kristen ITC" w:hAnsi="Kristen ITC"/>
          <w:sz w:val="24"/>
          <w:szCs w:val="24"/>
        </w:rPr>
        <w:t>lett</w:t>
      </w:r>
      <w:proofErr w:type="spellEnd"/>
      <w:r w:rsidRPr="00EC6EF6">
        <w:rPr>
          <w:rFonts w:ascii="Kristen ITC" w:hAnsi="Kristen ITC"/>
          <w:sz w:val="24"/>
          <w:szCs w:val="24"/>
        </w:rPr>
        <w:t xml:space="preserve">. b) della l. 190/2012, il RPCT deve verificare, d’intesa con il dirigente competente, «l'effettiva rotazione degli incarichi negli uffici preposti allo svolgimento delle attività nel cui ambito è più elevato il rischio che siano commessi reati di corruzione». Questo tipo di rotazione, c.d. “ordinaria” (si veda infra § 7.2.2) è stata, quindi, inserita dal legislatore come una delle misure organizzative generali a efficacia preventiva che può essere utilizzata nei confronti di coloro che operano in settori particolarmente esposti alla corruzione.  L’istituto della rotazione era stato già previsto dal d.lgs. 30 marzo 2001 n. 165, c.d. Testo Unico sul pubblico impiego, dall’art. 16, co. 1, </w:t>
      </w:r>
      <w:proofErr w:type="spellStart"/>
      <w:r w:rsidRPr="00EC6EF6">
        <w:rPr>
          <w:rFonts w:ascii="Kristen ITC" w:hAnsi="Kristen ITC"/>
          <w:sz w:val="24"/>
          <w:szCs w:val="24"/>
        </w:rPr>
        <w:t>lett</w:t>
      </w:r>
      <w:proofErr w:type="spellEnd"/>
      <w:r w:rsidRPr="00EC6EF6">
        <w:rPr>
          <w:rFonts w:ascii="Kristen ITC" w:hAnsi="Kristen ITC"/>
          <w:sz w:val="24"/>
          <w:szCs w:val="24"/>
        </w:rPr>
        <w:t xml:space="preserve">. l-quater) (lettera aggiunta dall’art. 1, co. 24, </w:t>
      </w:r>
      <w:proofErr w:type="spellStart"/>
      <w:r w:rsidRPr="00EC6EF6">
        <w:rPr>
          <w:rFonts w:ascii="Kristen ITC" w:hAnsi="Kristen ITC"/>
          <w:sz w:val="24"/>
          <w:szCs w:val="24"/>
        </w:rPr>
        <w:t>d.l.</w:t>
      </w:r>
      <w:proofErr w:type="spellEnd"/>
      <w:r w:rsidRPr="00EC6EF6">
        <w:rPr>
          <w:rFonts w:ascii="Kristen ITC" w:hAnsi="Kristen ITC"/>
          <w:sz w:val="24"/>
          <w:szCs w:val="24"/>
        </w:rPr>
        <w:t xml:space="preserve"> 6 luglio 2012, n. 95, convertito, con modificazioni, dalla l. 7 agosto 2012, n. 135), sia pure come misura di carattere successivo al verificarsi di fenomeni corruttivi. La norma citata prevede, infatti, la rotazione «del personale nei casi di avvio di procedimenti penali o disciplinari per condotte di natura corruttiva». Di tale misura, c.d. rotazione straordinaria, che solo nominalmente può associarsi all’istituto generale della rotazione, si tratterà nel § 7.2.3. 7.2.2 Rotazione ordinaria La rotazione ordinaria del personale è espressamente richiamata nelle Linee guida adottate dal Comitato interministeriale, istituito con </w:t>
      </w:r>
      <w:proofErr w:type="spellStart"/>
      <w:r w:rsidRPr="00EC6EF6">
        <w:rPr>
          <w:rFonts w:ascii="Kristen ITC" w:hAnsi="Kristen ITC"/>
          <w:sz w:val="24"/>
          <w:szCs w:val="24"/>
        </w:rPr>
        <w:t>d.p.c.m</w:t>
      </w:r>
      <w:proofErr w:type="spellEnd"/>
      <w:r w:rsidRPr="00EC6EF6">
        <w:rPr>
          <w:rFonts w:ascii="Kristen ITC" w:hAnsi="Kristen ITC"/>
          <w:sz w:val="24"/>
          <w:szCs w:val="24"/>
        </w:rPr>
        <w:t xml:space="preserve">. 16 gennaio 2013, come misura da valorizzare nella predisposizione del Piano Nazionale Anticorruzione. L’art. 1, co. 4, </w:t>
      </w:r>
      <w:proofErr w:type="spellStart"/>
      <w:r w:rsidRPr="00EC6EF6">
        <w:rPr>
          <w:rFonts w:ascii="Kristen ITC" w:hAnsi="Kristen ITC"/>
          <w:sz w:val="24"/>
          <w:szCs w:val="24"/>
        </w:rPr>
        <w:t>lett</w:t>
      </w:r>
      <w:proofErr w:type="spellEnd"/>
      <w:r w:rsidRPr="00EC6EF6">
        <w:rPr>
          <w:rFonts w:ascii="Kristen ITC" w:hAnsi="Kristen ITC"/>
          <w:sz w:val="24"/>
          <w:szCs w:val="24"/>
        </w:rPr>
        <w:t xml:space="preserve">. e) </w:t>
      </w:r>
      <w:r w:rsidRPr="00EC6EF6">
        <w:rPr>
          <w:rFonts w:ascii="Kristen ITC" w:hAnsi="Kristen ITC"/>
          <w:sz w:val="24"/>
          <w:szCs w:val="24"/>
        </w:rPr>
        <w:lastRenderedPageBreak/>
        <w:t xml:space="preserve">della l. 190/2012, dispone che spetta all’ANAC definire i criteri che le amministrazioni devono seguire per assicurare la rotazione dei dirigenti nei settori particolarmente esposti alla corruzione.  Si ricorda, infatti, che l’art. 19, co. 15, del </w:t>
      </w:r>
      <w:proofErr w:type="spellStart"/>
      <w:r w:rsidRPr="00EC6EF6">
        <w:rPr>
          <w:rFonts w:ascii="Kristen ITC" w:hAnsi="Kristen ITC"/>
          <w:sz w:val="24"/>
          <w:szCs w:val="24"/>
        </w:rPr>
        <w:t>d.l.</w:t>
      </w:r>
      <w:proofErr w:type="spellEnd"/>
      <w:r w:rsidRPr="00EC6EF6">
        <w:rPr>
          <w:rFonts w:ascii="Kristen ITC" w:hAnsi="Kristen ITC"/>
          <w:sz w:val="24"/>
          <w:szCs w:val="24"/>
        </w:rPr>
        <w:t xml:space="preserve"> 90/2014 ha previsto che «Le funzioni del Dipartimento della funzione pubblica della Presidenza del Consiglio dei Ministri in materia di trasparenza e prevenzione della corruzione di cui all'articolo 1, commi 4, 5 e 8, della legge 6 novembre 2012 n. 190, e le funzioni di cui all'articolo 48 del decreto legislativo 14 marzo 2013, n. 33, sono trasferite all'Autorità nazionale anticorruzione». L’ambito soggettivo di applicazione della rotazione va identificato con riguardo sia alle organizzazioni alle quali essa si applica, sia ai soggetti interessati dalla misura. Con riferimento alle organizzazioni, ai sensi dell’art. 1, co. 59, della l. 190/2012, si deve trattare delle pubbliche amministrazioni di cui all’art. 1, co. 2, del d.lgs. 165/2001.  Pur in mancanza di una specifica previsione normativa relativa alla rotazione negli enti di diritto privato a controllo pubblico e negli enti pubblici economici, l’Autorità ritiene opportuno che le amministrazioni controllanti e vigilanti promuovano l’adozione da parte dei suddetti enti di misure di rotazione come già, peraltro, indicato nelle Linee guida di cui alla determinazione n. 8 del 17 giugno 2015. In tale sede, sono inoltre state suggerite, in combinazione o in alternativa alla rotazione, misure quali quella della articolazione delle competenze (c.d. “segregazione delle funzioni”) con cui sono attribuiti a soggetti diversi i compiti relativi a: a) svolgimento di istruttorie e accertamenti; b) adozione di decisioni; c) attuazione delle decisioni prese; d) effettuazione delle verifiche. Per quanto concerne l’individuazione specifica di quali siano i dipendenti pubblici interessati dalla misura, la lettura sistematica delle disposizioni normative, (co. 4, </w:t>
      </w:r>
      <w:proofErr w:type="spellStart"/>
      <w:r w:rsidRPr="00EC6EF6">
        <w:rPr>
          <w:rFonts w:ascii="Kristen ITC" w:hAnsi="Kristen ITC"/>
          <w:sz w:val="24"/>
          <w:szCs w:val="24"/>
        </w:rPr>
        <w:t>lett</w:t>
      </w:r>
      <w:proofErr w:type="spellEnd"/>
      <w:r w:rsidRPr="00EC6EF6">
        <w:rPr>
          <w:rFonts w:ascii="Kristen ITC" w:hAnsi="Kristen ITC"/>
          <w:sz w:val="24"/>
          <w:szCs w:val="24"/>
        </w:rPr>
        <w:t xml:space="preserve">. e), e co. 5, </w:t>
      </w:r>
      <w:proofErr w:type="spellStart"/>
      <w:r w:rsidRPr="00EC6EF6">
        <w:rPr>
          <w:rFonts w:ascii="Kristen ITC" w:hAnsi="Kristen ITC"/>
          <w:sz w:val="24"/>
          <w:szCs w:val="24"/>
        </w:rPr>
        <w:t>lett</w:t>
      </w:r>
      <w:proofErr w:type="spellEnd"/>
      <w:r w:rsidRPr="00EC6EF6">
        <w:rPr>
          <w:rFonts w:ascii="Kristen ITC" w:hAnsi="Kristen ITC"/>
          <w:sz w:val="24"/>
          <w:szCs w:val="24"/>
        </w:rPr>
        <w:t xml:space="preserve">. b) dell’art. 1 della l. 190/2012), tenuto anche conto della finalità sostanziale della misura e dello scopo della norma e, peraltro, in continuità con le indicazioni già fornite nel PNA 2013, inducono a ritenere che l’ambito soggettivo sia riferito a tutti i pubblici dipendenti.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28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Vincoli alla </w:t>
      </w:r>
      <w:proofErr w:type="gramStart"/>
      <w:r w:rsidRPr="00EC6EF6">
        <w:rPr>
          <w:rFonts w:ascii="Kristen ITC" w:hAnsi="Kristen ITC"/>
          <w:sz w:val="24"/>
          <w:szCs w:val="24"/>
        </w:rPr>
        <w:t>rotazione  Le</w:t>
      </w:r>
      <w:proofErr w:type="gramEnd"/>
      <w:r w:rsidRPr="00EC6EF6">
        <w:rPr>
          <w:rFonts w:ascii="Kristen ITC" w:hAnsi="Kristen ITC"/>
          <w:sz w:val="24"/>
          <w:szCs w:val="24"/>
        </w:rPr>
        <w:t xml:space="preserve"> condizioni in cui è possibile realizzare la rotazione sono strettamente connesse a vincoli di natura soggettiva attinenti al rapporto di lavoro e a vincoli di natura oggettiva, connessi all’assetto organizzativo dell’amministrazione.  </w:t>
      </w:r>
      <w:r w:rsidRPr="00EC6EF6">
        <w:rPr>
          <w:rFonts w:ascii="Kristen ITC" w:hAnsi="Kristen ITC"/>
          <w:sz w:val="24"/>
          <w:szCs w:val="24"/>
        </w:rPr>
        <w:t xml:space="preserve"> Vincoli </w:t>
      </w:r>
      <w:proofErr w:type="gramStart"/>
      <w:r w:rsidRPr="00EC6EF6">
        <w:rPr>
          <w:rFonts w:ascii="Kristen ITC" w:hAnsi="Kristen ITC"/>
          <w:sz w:val="24"/>
          <w:szCs w:val="24"/>
        </w:rPr>
        <w:t>soggettivi  Le</w:t>
      </w:r>
      <w:proofErr w:type="gramEnd"/>
      <w:r w:rsidRPr="00EC6EF6">
        <w:rPr>
          <w:rFonts w:ascii="Kristen ITC" w:hAnsi="Kristen ITC"/>
          <w:sz w:val="24"/>
          <w:szCs w:val="24"/>
        </w:rPr>
        <w:t xml:space="preserve"> amministrazioni sono tenute ad adottare misure di rotazione compatibili con eventuali diritti individuali dei </w:t>
      </w:r>
      <w:r w:rsidRPr="00EC6EF6">
        <w:rPr>
          <w:rFonts w:ascii="Kristen ITC" w:hAnsi="Kristen ITC"/>
          <w:sz w:val="24"/>
          <w:szCs w:val="24"/>
        </w:rPr>
        <w:lastRenderedPageBreak/>
        <w:t xml:space="preserve">dipendenti interessati soprattutto laddove le misure si riflettono sulla sede di servizio del dipendente. Si fa riferimento a titolo esemplificativo ai diritti sindacali, alla legge 5 febbraio 1992 n. 104 (tra gli altri il permesso di assistere un familiare con disabilità) e al d.lgs. 26 marzo 2001, n. 151 (congedo parentale). Con riferimento all’applicabilità della misura della rotazione, se attuata tra sedi di lavoro differenti, nei confronti del personale dipendente che riveste il ruolo di dirigente sindacale, si ritiene necessaria, in conformità con recenti orientamenti giurisprudenziali, una preventiva informativa da indirizzarsi all’Organizzazione sindacale con lo scopo di consentire a quest’ultima di formulare in tempi brevi osservazioni e proposte in ragione dei singoli </w:t>
      </w:r>
      <w:proofErr w:type="gramStart"/>
      <w:r w:rsidRPr="00EC6EF6">
        <w:rPr>
          <w:rFonts w:ascii="Kristen ITC" w:hAnsi="Kristen ITC"/>
          <w:sz w:val="24"/>
          <w:szCs w:val="24"/>
        </w:rPr>
        <w:t xml:space="preserve">casi.  </w:t>
      </w:r>
      <w:proofErr w:type="gramEnd"/>
      <w:r w:rsidRPr="00EC6EF6">
        <w:rPr>
          <w:rFonts w:ascii="Kristen ITC" w:hAnsi="Kristen ITC"/>
          <w:sz w:val="24"/>
          <w:szCs w:val="24"/>
        </w:rPr>
        <w:t xml:space="preserve"> Vincoli oggettivi La rotazione va correlata all’esigenza di assicurare il buon andamento e la continuità dell’azione amministrativa e di garantire la qualità delle competenze professionali necessarie per lo svolgimento di talune attività specifiche, con particolare riguardo a quelle con elevato contenuto tecnico. Si tratta di esigenze già evidenziate dall’ANAC nella propria delibera n. 13 del 4 febbraio 2015, per l’attuazione dell’art. 1, co. 60 e 61, della l. 190/2012, ove si esclude che la rotazione possa implicare il conferimento di incarichi a soggetti privi delle competenze necessarie per assicurare la continuità dell’azione amministrativa. Tra i condizionamenti all’applicazione della rotazione vi può essere quello della cosiddetta infungibilità derivante dall’appartenenza a categorie o professionalità specifiche, anche tenuto conto di ordinamenti peculiari di settore o di particolari requisiti di reclutamento. Occorre tenere presente, inoltre, che sussistono alcune ipotesi in cui è la stessa legge che stabilisce espressamente la specifica qualifica professionale che devono possedere alcuni soggetti che lavorano in determinati uffici, qualifica direttamente correlata alle funzioni attribuite a detti uffici; ciò avviene di norma nei casi in cui lo svolgimento di una prestazione è direttamente correlato al possesso di un’abilitazione professionale e all’iscrizione nel relativo albo. Nel caso in cui si tratti di categorie professionali omogenee non si può invocare il concetto di infungibilità. Rimane sempre rilevante, anche ai fini della rotazione, la valutazione delle attitudini e delle capacità professionali del singolo. Proprio per prevenire situazioni come questa, in cui la rotazione sembrerebbe esclusa da circostanze dovute esclusivamente alla elevata preparazione di determinati dipendenti, le amministrazioni dovrebbero programmare adeguate attività di affiancamento propedeutiche alla rotazione. Rotazione e formazione La formazione è una misura fondamentale per garantire che sia acquisita dai dipendenti la qualità delle competenze professionali e trasversali necessarie per dare luogo alla rotazione. Una formazione di buon livello in una pluralità di ambiti operativi può contribuire a rendere il personale più flessibile e impiegabile in diverse </w:t>
      </w:r>
      <w:r w:rsidRPr="00EC6EF6">
        <w:rPr>
          <w:rFonts w:ascii="Kristen ITC" w:hAnsi="Kristen ITC"/>
          <w:sz w:val="24"/>
          <w:szCs w:val="24"/>
        </w:rPr>
        <w:lastRenderedPageBreak/>
        <w:t xml:space="preserve">attività. Si tratta, complessivamente, attraverso la valorizzazione della formazione, dell’analisi dei carichi di lavoro e di altre misure complementari, di instaurare un processo di pianificazione volto a rendere fungibili le competenze, che possano porre le basi per agevolare, nel lungo periodo, il processo di rotazione.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29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In una logica di formazione dovrebbe essere privilegiata una organizzazione del lavoro che preveda periodi di affiancamento del responsabile di una certa attività, con un altro operatore che nel tempo potrebbe sostituirlo. Così come dovrebbe essere privilegiata la circolarità delle informazioni attraverso la cura della trasparenza interna delle attività, che, aumentando la condivisione delle conoscenze professionali per l’esercizio di determinate attività, conseguentemente aumenta le possibilità di impiegare per esse personale diverso.  Misure alternative in caso di impossibilità di </w:t>
      </w:r>
      <w:proofErr w:type="gramStart"/>
      <w:r w:rsidRPr="00EC6EF6">
        <w:rPr>
          <w:rFonts w:ascii="Kristen ITC" w:hAnsi="Kristen ITC"/>
          <w:sz w:val="24"/>
          <w:szCs w:val="24"/>
        </w:rPr>
        <w:t>rotazione  Non</w:t>
      </w:r>
      <w:proofErr w:type="gramEnd"/>
      <w:r w:rsidRPr="00EC6EF6">
        <w:rPr>
          <w:rFonts w:ascii="Kristen ITC" w:hAnsi="Kristen ITC"/>
          <w:sz w:val="24"/>
          <w:szCs w:val="24"/>
        </w:rPr>
        <w:t xml:space="preserve"> sempre la rotazione è misura che si può realizzare, specie all’interno di amministrazioni di piccole dimensioni. In casi del genere è necessario che le amministrazioni motivino adeguatamente nel PTPC le ragioni della mancata applicazione dell’istituto. In questi casi le amministrazioni sono comunque tenute ad adottare misure per evitare che il soggetto non sottoposto a rotazione abbia il controllo esclusivo dei processi, specie di quelli più esposti al rischio di corruzione. In particolare dovrebbero essere sviluppate altre misure organizzative di prevenzione che sortiscano un effetto analogo a quello della rotazione, a cominciare, ad esempio, da quelle di trasparenza. A titolo esemplificativo potrebbero essere previste dal dirigente modalità operative che favoriscano una maggiore compartecipazione del personale alle attività del proprio ufficio. Inoltre, perlomeno nelle aree identificate come più a rischio e per le istruttorie più delicate, potrebbero essere promossi meccanismi di condivisione delle fasi procedimentali, prevedendo di affiancare al funzionario istruttore un altro funzionario, in modo che, ferma restando l’unitarietà della responsabilità del procedimento a fini di interlocuzione esterna, più soggetti condividano le valutazioni degli elementi rilevanti per la decisione finale dell’istruttoria.  Altro criterio che potrebbe essere adottato, in luogo della rotazione, è quello di attuare una corretta articolazione dei compiti e delle competenze. Infatti, la concentrazione di più mansioni e più responsabilità in capo ad un unico soggetto può esporre l’amministrazione a rischi come quello che il medesimo soggetto possa </w:t>
      </w:r>
      <w:r w:rsidRPr="00EC6EF6">
        <w:rPr>
          <w:rFonts w:ascii="Kristen ITC" w:hAnsi="Kristen ITC"/>
          <w:sz w:val="24"/>
          <w:szCs w:val="24"/>
        </w:rPr>
        <w:lastRenderedPageBreak/>
        <w:t xml:space="preserve">compiere errori o tenere comportamenti scorretti senza che questi vengano alla luce. Sarebbe auspicabile, quindi, che nelle aree a rischio le varie fasi procedimentali siano affidate a più persone, avendo cura in particolare che la responsabilità del procedimento sia sempre assegnata ad un soggetto diverso dal dirigente, cui compete l’adozione del provvedimento finale.  Attuazione della rotazione Per l’attuazione della misura è necessario che l’amministrazione nel proprio PTPC chiarisca i criteri, individui la fonte di disciplina e sviluppi un’adeguata programmazione della rotazione. Tali contenuti sono mirati ad evitare che la rotazione sia impiegata al di fuori di un programma predeterminato e possa essere intesa o effettivamente utilizzata in maniera non funzionale alle esigenze di prevenzione di fenomeni di cattiva amministrazione e corruzione. </w:t>
      </w:r>
      <w:r w:rsidRPr="00EC6EF6">
        <w:rPr>
          <w:rFonts w:ascii="Kristen ITC" w:hAnsi="Kristen ITC"/>
          <w:sz w:val="24"/>
          <w:szCs w:val="24"/>
        </w:rPr>
        <w:t xml:space="preserve"> Criteri della rotazione e informativa sindacale Il PTPC deve indicare i criteri della rotazione. Tra i criteri vi sono, ad esempio: a) quello dell’individuazione degli uffici da sottoporre a rotazione; b) la fissazione della periodicità della rotazione; c) le caratteristiche della rotazione, se funzionale o territoriale.  Sui criteri di rotazione declinati nel PTPC le amministrazioni devono dare preventiva e adeguata informazione alle organizzazioni sindacali, ciò al fine di consentire a queste ultime di presentare proprie osservazione e proposte. Ciò non comporta l’apertura di una fase di negoziazione in </w:t>
      </w:r>
      <w:proofErr w:type="gramStart"/>
      <w:r w:rsidRPr="00EC6EF6">
        <w:rPr>
          <w:rFonts w:ascii="Kristen ITC" w:hAnsi="Kristen ITC"/>
          <w:sz w:val="24"/>
          <w:szCs w:val="24"/>
        </w:rPr>
        <w:t xml:space="preserve">materia.  </w:t>
      </w:r>
      <w:proofErr w:type="gramEnd"/>
      <w:r w:rsidRPr="00EC6EF6">
        <w:rPr>
          <w:rFonts w:ascii="Kristen ITC" w:hAnsi="Kristen ITC"/>
          <w:sz w:val="24"/>
          <w:szCs w:val="24"/>
        </w:rPr>
        <w:t xml:space="preserve"> Fonti della disciplina in materia di rotazione Se è necessario che il PTPC di ogni amministrazione contenga i criteri di rotazione, lo stesso, invece, può rinviare la disciplina della rotazione a ulteriori atti organizzativi. A tal fine possono essere utili i regolamenti di organizzazione sul personale o altri provvedimenti di carattere generale già adottati. Il PTPC è necessario chiarisca sempre qual è l’atto a cui si rinvia.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30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Per quanto riguarda la rotazione dei dirigenti, il PTPC potrà rinviare alla disciplina più specifica quale la “direttiva incarichi” o atti </w:t>
      </w:r>
      <w:proofErr w:type="gramStart"/>
      <w:r w:rsidRPr="00EC6EF6">
        <w:rPr>
          <w:rFonts w:ascii="Kristen ITC" w:hAnsi="Kristen ITC"/>
          <w:sz w:val="24"/>
          <w:szCs w:val="24"/>
        </w:rPr>
        <w:t xml:space="preserve">equivalenti.  </w:t>
      </w:r>
      <w:proofErr w:type="gramEnd"/>
      <w:r w:rsidRPr="00EC6EF6">
        <w:rPr>
          <w:rFonts w:ascii="Kristen ITC" w:hAnsi="Kristen ITC"/>
          <w:sz w:val="24"/>
          <w:szCs w:val="24"/>
        </w:rPr>
        <w:t xml:space="preserve"> Programmazione pluriennale della rotazione È fondamentale che la rotazione sia programmata su base pluriennale, tenendo in considerazione i vincoli soggettivi e oggettivi come sopra descritti, dopo che sono state individuate le aree a rischio corruzione e al loro interno gli uffici maggiormente esposti a fenomeni corruttivi. Ciò consente di rendere trasparente il processo di rotazione e di stabilirne i nessi con le altre misure di prevenzione della corruzione. La programmazione della rotazione richiede non </w:t>
      </w:r>
      <w:r w:rsidRPr="00EC6EF6">
        <w:rPr>
          <w:rFonts w:ascii="Kristen ITC" w:hAnsi="Kristen ITC"/>
          <w:sz w:val="24"/>
          <w:szCs w:val="24"/>
        </w:rPr>
        <w:lastRenderedPageBreak/>
        <w:t xml:space="preserve">solo il coordinamento del RPCT, ma anche e soprattutto il forte coinvolgimento di tutti i dirigenti e dei referenti del RPCT, se presenti all’interno della struttura. Come ogni misura specifica, la rotazione deve essere calibrata in relazione alle caratteristiche peculiari di ogni struttura (dimensione e relativa dotazione organica, qualità del personale addetto, modalità di funzionamento degli uffici, distribuzione del lavoro e delle mansioni). </w:t>
      </w:r>
      <w:r w:rsidRPr="00EC6EF6">
        <w:rPr>
          <w:rFonts w:ascii="Kristen ITC" w:hAnsi="Kristen ITC"/>
          <w:sz w:val="24"/>
          <w:szCs w:val="24"/>
        </w:rPr>
        <w:t xml:space="preserve"> Gradualità della </w:t>
      </w:r>
      <w:proofErr w:type="gramStart"/>
      <w:r w:rsidRPr="00EC6EF6">
        <w:rPr>
          <w:rFonts w:ascii="Kristen ITC" w:hAnsi="Kristen ITC"/>
          <w:sz w:val="24"/>
          <w:szCs w:val="24"/>
        </w:rPr>
        <w:t>rotazione  Tenuto</w:t>
      </w:r>
      <w:proofErr w:type="gramEnd"/>
      <w:r w:rsidRPr="00EC6EF6">
        <w:rPr>
          <w:rFonts w:ascii="Kristen ITC" w:hAnsi="Kristen ITC"/>
          <w:sz w:val="24"/>
          <w:szCs w:val="24"/>
        </w:rPr>
        <w:t xml:space="preserve"> conto dell’impatto che la rotazione ha sull’intera struttura organizzativa, è consigliabile programmare la stessa secondo un criterio di gradualità per mitigare l’eventuale rallentamento dell’attività ordinaria. A tal fine dovranno essere considerati, innanzitutto, gli uffici più esposti al rischio di corruzione, per poi considerare gli uffici con un livello di esposizione al rischio più basso.  Con specifico riferimento al personale non dirigenziale, il criterio della gradualità implica, ad esempio, che le misure di rotazione riguardino in primo luogo i responsabili dei procedimenti nelle aree a più elevato rischio di corruzione e il personale addetto a funzioni e compiti a diretto contatto con il pubblico.  Allo scopo di evitare che la rotazione determini un repentino depauperamento delle conoscenze e delle competenze complessive dei singoli uffici interessati, potrebbe risultare utile programmare in tempi diversi, e quindi non simultanei, la rotazione dell’incarico dirigenziale e del personale non dirigenziale all’interno di un medesimo </w:t>
      </w:r>
      <w:proofErr w:type="gramStart"/>
      <w:r w:rsidRPr="00EC6EF6">
        <w:rPr>
          <w:rFonts w:ascii="Kristen ITC" w:hAnsi="Kristen ITC"/>
          <w:sz w:val="24"/>
          <w:szCs w:val="24"/>
        </w:rPr>
        <w:t xml:space="preserve">ufficio.  </w:t>
      </w:r>
      <w:proofErr w:type="gramEnd"/>
      <w:r w:rsidRPr="00EC6EF6">
        <w:rPr>
          <w:rFonts w:ascii="Kristen ITC" w:hAnsi="Kristen ITC"/>
          <w:sz w:val="24"/>
          <w:szCs w:val="24"/>
        </w:rPr>
        <w:t xml:space="preserve"> Monitoraggio e verifica Nel PTPC è necessario siano indicate le modalità attraverso cui il RPCT effettua il monitoraggio riguardo all’attuazione delle misure di rotazione previste e al loro coordinamento con le misure di formazione. In ogni caso, tanto gli organi di indirizzo politico amministrativo che i dirigenti generali, con riferimento rispettivamente agli incarichi dirigenziali di livello generale e al personale dirigenziale, sono tenuti a mettere a disposizione del RPCT ogni informazione utile per comprendere come la misura venga progressivamente applicata e quali siano le eventuali difficoltà riscontrate. Analogamente, il dirigente con responsabilità in materia di formazione rende disponibile al RPCT ogni informazione richiesta da quest’ultimo sull’attuazione delle misure di formazione coordinate con quelle di rotazione. Nella relazione annuale il RPCT espone il livello di attuazione delle misure di rotazione e delle relative misure di formazione, motivando gli eventuali scostamenti tra misure pianificate e realizzate. Quest’ultima, insieme alle segnalazioni comunque pervenute all’Autorità, costituirà una base informativa di grande rilievo da cui muoverà l’azione di vigilanza di ANAC.  Rotazione del personale </w:t>
      </w:r>
      <w:proofErr w:type="gramStart"/>
      <w:r w:rsidRPr="00EC6EF6">
        <w:rPr>
          <w:rFonts w:ascii="Kristen ITC" w:hAnsi="Kristen ITC"/>
          <w:sz w:val="24"/>
          <w:szCs w:val="24"/>
        </w:rPr>
        <w:t>dirigenziale  Per</w:t>
      </w:r>
      <w:proofErr w:type="gramEnd"/>
      <w:r w:rsidRPr="00EC6EF6">
        <w:rPr>
          <w:rFonts w:ascii="Kristen ITC" w:hAnsi="Kristen ITC"/>
          <w:sz w:val="24"/>
          <w:szCs w:val="24"/>
        </w:rPr>
        <w:t xml:space="preserve"> quanto riguarda i dirigenti la rotazione ordinaria è opportuno venga programmata e sia prevista nell’ambito dell’atto generale approvato dall’organo di indirizzo politico, contenente i criteri di </w:t>
      </w:r>
      <w:r w:rsidRPr="00EC6EF6">
        <w:rPr>
          <w:rFonts w:ascii="Kristen ITC" w:hAnsi="Kristen ITC"/>
          <w:sz w:val="24"/>
          <w:szCs w:val="24"/>
        </w:rPr>
        <w:lastRenderedPageBreak/>
        <w:t xml:space="preserve">conferimento degli incarichi dirigenziali che devono essere chiari e oggettivi.  Il PTPC di ogni amministrazione deve fare riferimento a tale atto generale (come, ad esempio, la Direttiva ministeriale che disciplina gli incarichi dirigenziali) ove vengono descritti i criteri e le modalità per la rotazione dirigenziale. Ciò anche per evitare che la rotazione possa essere impiegata in modo poco trasparente, limitando l’indipendenza della dirigenza.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31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Per il personale dirigenziale, la disciplina è applicabile ai dirigenti di prima e di seconda fascia, o equiparati.  Negli uffici individuati come a più elevato rischio di corruzione, sarebbe preferibile che la durata dell’incarico fosse fissata al limite minimo legale. Alla scadenza, la responsabilità dell’ufficio o del servizio dovrebbe essere di regola affidata ad altro dirigente, a prescindere dall’esito della valutazione riportata dal dirigente uscente. Invero, l’istituto della rotazione dirigenziale, specie in determinate aree a rischio, dovrebbe essere una prassi “fisiologica”, mai assumendo carattere punitivo e/o sanzionatorio. Essendo la rotazione una misura che ha effetti su tutta l’organizzazione di un’amministrazione, progressivamente la rotazione dovrebbe essere applicata anche a quei dirigenti che non operano nelle aree a rischio. Ciò tra l’altro sarebbe funzionale anche a evitare che nelle aree di rischio ruotino sempre gli stessi dirigenti. La mancata attuazione della rotazione deve essere congruamente motivata da parte del soggetto tenuto all’attuazione della misura. </w:t>
      </w:r>
      <w:r w:rsidRPr="00EC6EF6">
        <w:rPr>
          <w:rFonts w:ascii="Kristen ITC" w:hAnsi="Kristen ITC"/>
          <w:sz w:val="24"/>
          <w:szCs w:val="24"/>
        </w:rPr>
        <w:t xml:space="preserve"> In prospettiva: rotazione del personale dirigenziale in relazione alla legge 7 agosto 2015 n. 124 (c.d. Legge Madia) Le questioni organizzative che si pongono a proposito della rotazione della dirigenza sono di diverso tenore. Una decisa influenza su di esse avrà l’effettiva adozione del decreto legislativo di attuazione di quanto disposto dall’art. 11 della l. 124/2015, che prevede la costituzione di ruoli unici per la dirigenza e soprattutto modalità di affidamento degli incarichi dirigenziali attraverso un “interpello” al quale possono rispondere tutti i dirigenti appartenenti ai ruoli. Tutto questo, in prospettiva, potrà favorire la rotazione dei dirigenti fino a rendere probabilmente ininfluente l’elemento della limitata disponibilità di dirigenti nelle amministrazioni di piccole e medie dimensioni, potendo queste contare su un mercato delle professionalità dirigenziali reso più ampio. Rotazione del personale non dirigenziale La rotazione ordinaria del personale non dirigenziale può essere effettuata o all’interno dello stesso ufficio o </w:t>
      </w:r>
      <w:r w:rsidRPr="00EC6EF6">
        <w:rPr>
          <w:rFonts w:ascii="Kristen ITC" w:hAnsi="Kristen ITC"/>
          <w:sz w:val="24"/>
          <w:szCs w:val="24"/>
        </w:rPr>
        <w:lastRenderedPageBreak/>
        <w:t xml:space="preserve">tra uffici diversi nell’ambito della stessa amministrazione. La rotazione è applicabile anche ai titolari di posizione organizzativa, nei casi in cui nell’amministrazione il personale dirigenziale sia carente o del tutto assente.  Può essere citato, quale esempio di best </w:t>
      </w:r>
      <w:proofErr w:type="spellStart"/>
      <w:r w:rsidRPr="00EC6EF6">
        <w:rPr>
          <w:rFonts w:ascii="Kristen ITC" w:hAnsi="Kristen ITC"/>
          <w:sz w:val="24"/>
          <w:szCs w:val="24"/>
        </w:rPr>
        <w:t>practice</w:t>
      </w:r>
      <w:proofErr w:type="spellEnd"/>
      <w:r w:rsidRPr="00EC6EF6">
        <w:rPr>
          <w:rFonts w:ascii="Kristen ITC" w:hAnsi="Kristen ITC"/>
          <w:sz w:val="24"/>
          <w:szCs w:val="24"/>
        </w:rPr>
        <w:t xml:space="preserve">, quello messo in atto da un Comune del nord Italia che ha favorito la rotazione tra i propri funzionari, attraverso una procedura di interpello per individuare candidature a ricoprire ruoli di posizione organizzativa e alta professionalità, nonché prevedendo la non rinnovabilità dello stesso incarico per quanto riguarda i titolari delle posizioni organizzative9.  </w:t>
      </w:r>
      <w:r w:rsidRPr="00EC6EF6">
        <w:rPr>
          <w:rFonts w:ascii="Kristen ITC" w:hAnsi="Kristen ITC"/>
          <w:sz w:val="24"/>
          <w:szCs w:val="24"/>
        </w:rPr>
        <w:t xml:space="preserve"> Rotazione nell’ambito dello stesso ufficio Il personale potrebbe essere fatto ruotare nello stesso ufficio periodicamente, con la rotazione c.d. “funzionale”, ossia con un’organizzazione del lavoro basata su una modifica periodica dei compiti e delle responsabilità affidati ai dipendenti. Ciò può avvenire, ad esempio, facendo ruotare periodicamente i responsabili dei procedimenti o delle relative istruttorie; applicando anche la rotazione dei funzionari che facciano parte di commissioni interne all’ufficio o all’amministrazione. Ancora, a titolo esemplificativo, nel caso di uffici a diretto contatto con il pubblico che hanno anche competenze di back office, si potrebbe prevedere l’alternanza di chi opera a diretto contatto con il pubblico, in alcuni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9 In particolare nelle «Linee guida per l’assegnazione degli incarichi di Posizione Organizzativa e di Alta Professionalità» del Comune viene specificato che «l’aspettativa dell’Ente nella modalità di assegnazione degli incarichi è che lo stesso incarico non sia rinnovato per più di una volta, per due finalità: da un lato favorire la rotazione, che oltre ai benefici in punto anticorruzione, ha dei vantaggi sul piano della contaminazione organizzativa e scambio di esperienze interne (se una PO è valida ed è stata confermata già una volta nella stessa posizione, può fare bene anche in una posizione affine); dall’altro mette in moto l’organizzazione e offre ciclicamente opportunità di crescita e sviluppo per chi ne ha le capacità e ha voglia di misurarsi con sfide importanti».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32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proofErr w:type="gramStart"/>
      <w:r w:rsidRPr="00EC6EF6">
        <w:rPr>
          <w:rFonts w:ascii="Kristen ITC" w:hAnsi="Kristen ITC"/>
          <w:sz w:val="24"/>
          <w:szCs w:val="24"/>
        </w:rPr>
        <w:t>uffici</w:t>
      </w:r>
      <w:proofErr w:type="gramEnd"/>
      <w:r w:rsidRPr="00EC6EF6">
        <w:rPr>
          <w:rFonts w:ascii="Kristen ITC" w:hAnsi="Kristen ITC"/>
          <w:sz w:val="24"/>
          <w:szCs w:val="24"/>
        </w:rPr>
        <w:t xml:space="preserve"> (es. Soprintendenze) potrebbe essere opportuno modificare periodicamente l’ambito delle competenze territoriali affidate a ciascun funzionario. </w:t>
      </w:r>
      <w:r w:rsidRPr="00EC6EF6">
        <w:rPr>
          <w:rFonts w:ascii="Kristen ITC" w:hAnsi="Kristen ITC"/>
          <w:sz w:val="24"/>
          <w:szCs w:val="24"/>
        </w:rPr>
        <w:t xml:space="preserve"> Rotazione nella stessa amministrazione tra uffici </w:t>
      </w:r>
      <w:proofErr w:type="gramStart"/>
      <w:r w:rsidRPr="00EC6EF6">
        <w:rPr>
          <w:rFonts w:ascii="Kristen ITC" w:hAnsi="Kristen ITC"/>
          <w:sz w:val="24"/>
          <w:szCs w:val="24"/>
        </w:rPr>
        <w:t>diversi  Nell’ambito</w:t>
      </w:r>
      <w:proofErr w:type="gramEnd"/>
      <w:r w:rsidRPr="00EC6EF6">
        <w:rPr>
          <w:rFonts w:ascii="Kristen ITC" w:hAnsi="Kristen ITC"/>
          <w:sz w:val="24"/>
          <w:szCs w:val="24"/>
        </w:rPr>
        <w:t xml:space="preserve"> della programmazione </w:t>
      </w:r>
      <w:r w:rsidRPr="00EC6EF6">
        <w:rPr>
          <w:rFonts w:ascii="Kristen ITC" w:hAnsi="Kristen ITC"/>
          <w:sz w:val="24"/>
          <w:szCs w:val="24"/>
        </w:rPr>
        <w:lastRenderedPageBreak/>
        <w:t xml:space="preserve">della rotazione, può essere prevista una rotazione funzionale tra uffici diversi. La durata di permanenza nell’ufficio deve essere prefissata da ciascuna amministrazione secondo criteri di ragionevolezza, tenuto conto anche delle esigenze organizzative.  In altro modo, nelle strutture complesse o con articolazioni territoriali, la rotazione può avere carattere di “rotazione territoriale”, nel rispetto delle garanzie accordate dalla legge in caso di spostamenti di questo tipo. Sull’argomento l’ANAC è intervenuta evidenziando come la rotazione territoriale possa essere scelta dall’amministrazione ove la stessa sia più funzionale all’attività di prevenzione e non si ponga in contrasto con il buon andamento e la continuità dell’attività amministrativa, a condizione che i criteri di rotazione siano previsti nel PTPC o nei successivi atti attuativi e le scelte effettuate siano congruamente motivate10. </w:t>
      </w:r>
      <w:r w:rsidRPr="00EC6EF6">
        <w:rPr>
          <w:rFonts w:ascii="Kristen ITC" w:hAnsi="Kristen ITC"/>
          <w:sz w:val="24"/>
          <w:szCs w:val="24"/>
        </w:rPr>
        <w:t xml:space="preserve"> In prospettiva: rotazione tra amministrazioni diverse Attualmente non vi sono le condizioni normative per realizzare la rotazione fra amministrazioni diverse. L’art. 30, co. 1, del d.lgs. 165/2001, come novellato dal </w:t>
      </w:r>
      <w:proofErr w:type="spellStart"/>
      <w:r w:rsidRPr="00EC6EF6">
        <w:rPr>
          <w:rFonts w:ascii="Kristen ITC" w:hAnsi="Kristen ITC"/>
          <w:sz w:val="24"/>
          <w:szCs w:val="24"/>
        </w:rPr>
        <w:t>d.l.</w:t>
      </w:r>
      <w:proofErr w:type="spellEnd"/>
      <w:r w:rsidRPr="00EC6EF6">
        <w:rPr>
          <w:rFonts w:ascii="Kristen ITC" w:hAnsi="Kristen ITC"/>
          <w:sz w:val="24"/>
          <w:szCs w:val="24"/>
        </w:rPr>
        <w:t xml:space="preserve"> 90/2014, ha previsto che le amministrazioni possono ricoprire i posti vacanti in organico mediante passaggio diretto di dipendenti.  Il medesimo art. 30, co. 2, dispone che i dipendenti possono essere trasferiti, previo accordo tra le amministrazioni interessate, in altra amministrazione, in sedi collocate nel territorio dello stesso comune ovvero a distanza non superiore a cinquanta chilometri dalla sede cui sono adibiti. Mobilità e rotazione, però, in tal caso, rispondono, tuttavia, a finalità diverse. La mobilità di personale può favorire il crearsi delle condizioni che rendono possibile la rotazione, specie laddove esistono carenze di organico. In prospettiva, l’Autorità auspica modifiche legislative che possano consentire la rotazione tra amministrazioni, valorizzando forme aggregative attraverso convenzioni fra enti territoriali limitrofi e uniformi (comuni, aziende sanitarie, zone sociali) o unioni di comuni. Al riguardo, l’Autorità si riserva di fare un’apposita segnalazione al Governo e al Parlamento.  7.2.3 Rotazione straordinaria nel caso di avvio di procedimenti penali o disciplinari per condotte di natura corruttiva Come già sopra richiamato, l’art. 16, co. 1, </w:t>
      </w:r>
      <w:proofErr w:type="spellStart"/>
      <w:r w:rsidRPr="00EC6EF6">
        <w:rPr>
          <w:rFonts w:ascii="Kristen ITC" w:hAnsi="Kristen ITC"/>
          <w:sz w:val="24"/>
          <w:szCs w:val="24"/>
        </w:rPr>
        <w:t>lett</w:t>
      </w:r>
      <w:proofErr w:type="spellEnd"/>
      <w:r w:rsidRPr="00EC6EF6">
        <w:rPr>
          <w:rFonts w:ascii="Kristen ITC" w:hAnsi="Kristen ITC"/>
          <w:sz w:val="24"/>
          <w:szCs w:val="24"/>
        </w:rPr>
        <w:t xml:space="preserve">. l-quater) del d.lgs. 165/2001 dispone che i dirigenti degli uffici dirigenziali generali «provvedono al monitoraggio delle attività nell'ambito delle quali è più elevato il rischio corruzione svolte nell'ufficio a cui sono preposti, disponendo, con provvedimento motivato, la rotazione del personale nei casi di avvio di procedimenti penali o disciplinari per condotte di natura corruttiva»11, senza ulteriori specificazioni. Naturalmente restano ferme le altre misure previste in relazione alle varie forme di responsabilità. Certamente dalla stessa si desume l’obbligo per l’amministrazione di assegnare il personale sospettato di condotte di natura corruttiva, che abbiano o meno rilevanza penale, ad altro </w:t>
      </w:r>
      <w:r w:rsidRPr="00EC6EF6">
        <w:rPr>
          <w:rFonts w:ascii="Kristen ITC" w:hAnsi="Kristen ITC"/>
          <w:sz w:val="24"/>
          <w:szCs w:val="24"/>
        </w:rPr>
        <w:lastRenderedPageBreak/>
        <w:t xml:space="preserve">servizio. Si tratta, quindi, di una misura di carattere eventuale e cautelare tesa a garantire che nell’area ove si sono verificati i fatti oggetto del procedimento penale o disciplinare siano attivate idonee misure di prevenzione del rischio corruttivo. Per quanto attiene all’ambito soggettivo di applicazione, dal testo normativo sembra evincersi che detta forma di rotazione in quanto applicabile al “personale” sia da intendersi riferibile sia al personale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10 Cfr. orientamento ANAC in materia di anticorruzione n. 113 del 18 novembre 2014.  11 L’art. 55-ter, co. 1, d.lgs. 165/2001 dispone, altresì, che il procedimento disciplinare avente «ad oggetto, in tutto o in parte, fatti in relazione ai quali procede l'autorità giudiziaria è proseguito e concluso anche in pendenza del procedimento penale», fatta salva la sospensione in caso di sussistenza dei presupposti ivi previsti e fatta salva, in ogni caso, «la possibilità di adottare la sospensione o altri strumenti cautelari nei confronti del dipendente».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33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proofErr w:type="gramStart"/>
      <w:r w:rsidRPr="00EC6EF6">
        <w:rPr>
          <w:rFonts w:ascii="Kristen ITC" w:hAnsi="Kristen ITC"/>
          <w:sz w:val="24"/>
          <w:szCs w:val="24"/>
        </w:rPr>
        <w:t>dirigenziale</w:t>
      </w:r>
      <w:proofErr w:type="gramEnd"/>
      <w:r w:rsidRPr="00EC6EF6">
        <w:rPr>
          <w:rFonts w:ascii="Kristen ITC" w:hAnsi="Kristen ITC"/>
          <w:sz w:val="24"/>
          <w:szCs w:val="24"/>
        </w:rPr>
        <w:t xml:space="preserve">, sia non dirigenziale. Ulteriore elemento che avvalora la tesi prospettata deriva dalla lettura sistematica della norma che è collocata nel Capo II, Dirigenza e, pertanto, la rotazione potrebbe essere ipotizzata almeno nei confronti dei dirigenti di seconda fascia, che potrebbero essere fatti ruotare con decisione del direttore generale. Mentre per il personale non dirigenziale la rotazione si traduce in una assegnazione del dipendente ad altro ufficio o servizio, nel caso di personale dirigenziale, ha modalità applicative differenti comportando la revoca dell’incarico dirigenziale e, se del caso, la </w:t>
      </w:r>
      <w:proofErr w:type="spellStart"/>
      <w:r w:rsidRPr="00EC6EF6">
        <w:rPr>
          <w:rFonts w:ascii="Kristen ITC" w:hAnsi="Kristen ITC"/>
          <w:sz w:val="24"/>
          <w:szCs w:val="24"/>
        </w:rPr>
        <w:t>riattribuzione</w:t>
      </w:r>
      <w:proofErr w:type="spellEnd"/>
      <w:r w:rsidRPr="00EC6EF6">
        <w:rPr>
          <w:rFonts w:ascii="Kristen ITC" w:hAnsi="Kristen ITC"/>
          <w:sz w:val="24"/>
          <w:szCs w:val="24"/>
        </w:rPr>
        <w:t xml:space="preserve"> di altro incarico. Per quanto attiene all’ambito oggettivo, e dunque alle fattispecie di illecito che l’amministrazione è chiamata a tenere in conto ai fini della decisione di far scattare o meno la misura della rotazione straordinaria, vista l’atipicità del contenuto della condotta corruttiva indicata dalla norma e, in attesa di chiarimenti da parte del legislatore, si riterrebbe di poter considerare potenzialmente integranti le condotte corruttive anche i reati contro la Pubblica amministrazione e, in particolare, almeno quelli richiamati dal d.lgs. 39/2013 che fanno riferimento al Titolo II, Capo I «Dei delitti dei pubblici ufficiali contro la Pubblica amministrazione», nonché quelli indicati nel d.lgs. 31 dicembre 2012 , n. 23512. Oltre ai citati riferimenti, più in generale, </w:t>
      </w:r>
      <w:r w:rsidRPr="00EC6EF6">
        <w:rPr>
          <w:rFonts w:ascii="Kristen ITC" w:hAnsi="Kristen ITC"/>
          <w:sz w:val="24"/>
          <w:szCs w:val="24"/>
        </w:rPr>
        <w:lastRenderedPageBreak/>
        <w:t xml:space="preserve">l’amministrazione potrà porre a fondamento della decisione di far ruotare il personale la riconduzione del comportamento posto in essere a condotta di natura corruttiva e dunque potranno conseguentemente essere considerate anche altre fattispecie di reato.  In ogni caso, l’elemento di particolare rilevanza da considerare ai fini dell’applicazione della norma, è quello della motivazione adeguata del provvedimento con cui viene disposto lo spostamento.  Si evidenzia, infine, che il Presidente dell’ANAC è destinatario delle informative del pubblico ministero quando esercita l’azione penale per i delitti di cui agli articoli 317, 318, 319, 319-bis, 319-ter, 319-quater, 320, 321, 322, 322-bis, 346-bis, 353 e 353-bis del codice penale, ai sensi dell’art. 129, co. 3, delle norme di attuazione, di coordinamento e transitorie del codice di procedura penale, di cui al d.lgs. 28 luglio 1989 n. 271, come modificato dalla legge 27 maggio 2015 n. 69. In tal modo l’Autorità, informata dell’esistenza di fatti corruttivi, potrà esercitare i poteri previsti ai sensi dell’art. 1, co. 3, l. 190/2012, chiedendo all’amministrazione pubblica coinvolta nel processo penale l’attuazione della misura della rotazione.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7.3 Verifica delle dichiarazioni sulla insussistenza delle cause di </w:t>
      </w:r>
      <w:proofErr w:type="spellStart"/>
      <w:r w:rsidRPr="00EC6EF6">
        <w:rPr>
          <w:rFonts w:ascii="Kristen ITC" w:hAnsi="Kristen ITC"/>
          <w:sz w:val="24"/>
          <w:szCs w:val="24"/>
        </w:rPr>
        <w:t>inconferibilità</w:t>
      </w:r>
      <w:proofErr w:type="spellEnd"/>
      <w:r w:rsidRPr="00EC6EF6">
        <w:rPr>
          <w:rFonts w:ascii="Kristen ITC" w:hAnsi="Kristen ITC"/>
          <w:sz w:val="24"/>
          <w:szCs w:val="24"/>
        </w:rPr>
        <w:t xml:space="preserve"> Tra le misure da programmare nel PTPC vi sono quelle relative alle modalità di attuazione delle disposizioni del d.lgs. 39/2013, con particolare riferimento alle verifiche e ai controlli dell’insussistenza di cause di </w:t>
      </w:r>
      <w:proofErr w:type="spellStart"/>
      <w:r w:rsidRPr="00EC6EF6">
        <w:rPr>
          <w:rFonts w:ascii="Kristen ITC" w:hAnsi="Kristen ITC"/>
          <w:sz w:val="24"/>
          <w:szCs w:val="24"/>
        </w:rPr>
        <w:t>inconferibilità</w:t>
      </w:r>
      <w:proofErr w:type="spellEnd"/>
      <w:r w:rsidRPr="00EC6EF6">
        <w:rPr>
          <w:rFonts w:ascii="Kristen ITC" w:hAnsi="Kristen ITC"/>
          <w:sz w:val="24"/>
          <w:szCs w:val="24"/>
        </w:rPr>
        <w:t xml:space="preserve"> e di incompatibilità di incarichi.  L’Autorità si è più volta pronunciata su tale materia e sta adottando linee guida relative al ruolo e funzioni del RPCT nel procedimento di accertamento delle </w:t>
      </w:r>
      <w:proofErr w:type="spellStart"/>
      <w:r w:rsidRPr="00EC6EF6">
        <w:rPr>
          <w:rFonts w:ascii="Kristen ITC" w:hAnsi="Kristen ITC"/>
          <w:sz w:val="24"/>
          <w:szCs w:val="24"/>
        </w:rPr>
        <w:t>inconferibilità</w:t>
      </w:r>
      <w:proofErr w:type="spellEnd"/>
      <w:r w:rsidRPr="00EC6EF6">
        <w:rPr>
          <w:rFonts w:ascii="Kristen ITC" w:hAnsi="Kristen ITC"/>
          <w:sz w:val="24"/>
          <w:szCs w:val="24"/>
        </w:rPr>
        <w:t xml:space="preserve"> e delle incompatibilità, cui si rinvia.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7.4 Revisione dei processi di privatizzazione e esternalizzazione di funzioni, attività strumentali e servizi pubblici La costituzione di enti di diritto privato (società, associazioni, fondazioni) partecipate o controllate da pubbliche amministrazioni è un fenomeno molto esteso, che negli ultimi tempi è stato oggetto di attenzione da parte del legislatore, sia sotto il profilo della moltiplicazione della spesa pubblica (</w:t>
      </w:r>
      <w:proofErr w:type="spellStart"/>
      <w:r w:rsidRPr="00EC6EF6">
        <w:rPr>
          <w:rFonts w:ascii="Kristen ITC" w:hAnsi="Kristen ITC"/>
          <w:sz w:val="24"/>
          <w:szCs w:val="24"/>
        </w:rPr>
        <w:t>spending</w:t>
      </w:r>
      <w:proofErr w:type="spellEnd"/>
      <w:r w:rsidRPr="00EC6EF6">
        <w:rPr>
          <w:rFonts w:ascii="Kristen ITC" w:hAnsi="Kristen ITC"/>
          <w:sz w:val="24"/>
          <w:szCs w:val="24"/>
        </w:rPr>
        <w:t xml:space="preserve"> </w:t>
      </w:r>
      <w:proofErr w:type="spellStart"/>
      <w:r w:rsidRPr="00EC6EF6">
        <w:rPr>
          <w:rFonts w:ascii="Kristen ITC" w:hAnsi="Kristen ITC"/>
          <w:sz w:val="24"/>
          <w:szCs w:val="24"/>
        </w:rPr>
        <w:t>review</w:t>
      </w:r>
      <w:proofErr w:type="spellEnd"/>
      <w:r w:rsidRPr="00EC6EF6">
        <w:rPr>
          <w:rFonts w:ascii="Kristen ITC" w:hAnsi="Kristen ITC"/>
          <w:sz w:val="24"/>
          <w:szCs w:val="24"/>
        </w:rPr>
        <w:t xml:space="preserve">), sia sotto il profilo dell’inefficienza della gestione.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12 Norma che, oltre ai citati reati, ricomprende un numero molto rilevante di gravi delitti, tra cui l’associazione mafiosa, quella finalizzata al traffico di stupefacenti </w:t>
      </w:r>
      <w:r w:rsidRPr="00EC6EF6">
        <w:rPr>
          <w:rFonts w:ascii="Kristen ITC" w:hAnsi="Kristen ITC"/>
          <w:sz w:val="24"/>
          <w:szCs w:val="24"/>
        </w:rPr>
        <w:lastRenderedPageBreak/>
        <w:t xml:space="preserve">o di armi, i reati associativi finalizzati al compimento di delitti anche tentati contro la fede pubblica, contro la libertà individuale.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34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Il fenomeno comprende la costituzione di soggetti o totalmente partecipati dall’amministrazione, ovvero controllati per via di una partecipazione maggioritaria al capitale sociale, ovvero solo partecipati in via minoritaria. In totale, secondo la relazione ISTAT 2015, si tratterebbe di 7.757 enti. A tali soggetti vengono sempre più spesso affidate, con procedure diverse, che vanno dall’affidamento diretto, anche previa procedura comparativa per la scelta del socio privato, fino all’affidamento in applicazione del codice dei contratti pubblici, attività di pubblico interesse, che possono consistere: a) nello svolgimento di vere e proprie funzioni pubbliche; b) nell’erogazione, a favore dell’amministrazione affidante, di attività strumentali (circa 3.000 società strumentali, sempre secondo la stessa fonte); c) nell’erogazione, a favore delle collettività di cittadini, di servizi pubblici (nella duplice accezione, di derivazione comunitaria, di “servizi di interesse generale” e di “servizi di interesse economico generale” (circa 1.700 società). Molti di questi soggetti hanno caratteri, quanto al numero di addetti o al valore della produzione, del tutto inadeguati al perseguimento dei fini istituzionali, ovvero svolgono attività di pubblico interesse che si sovrappongono a quelle svolte dalle pubbliche amministrazioni. Per questi motivi il legislatore si è posto l’obiettivo di rivedere l’intera politica di costituzione di tali enti di diritto privato, al fine di evitare di costituire nel futuro enti destinati allo spreco di risorse pubbliche e di ridurre in modo consistente la partecipazione pubblica in tali soggetti, anche attraverso la soppressione di enti e attraverso processi di “</w:t>
      </w:r>
      <w:proofErr w:type="spellStart"/>
      <w:r w:rsidRPr="00EC6EF6">
        <w:rPr>
          <w:rFonts w:ascii="Kristen ITC" w:hAnsi="Kristen ITC"/>
          <w:sz w:val="24"/>
          <w:szCs w:val="24"/>
        </w:rPr>
        <w:t>reinternalizzazione</w:t>
      </w:r>
      <w:proofErr w:type="spellEnd"/>
      <w:r w:rsidRPr="00EC6EF6">
        <w:rPr>
          <w:rFonts w:ascii="Kristen ITC" w:hAnsi="Kristen ITC"/>
          <w:sz w:val="24"/>
          <w:szCs w:val="24"/>
        </w:rPr>
        <w:t xml:space="preserve">” (cioè di riconduzione di compiti alla competenza di uffici delle stesse amministrazioni) delle attività di pubblico interesse. In questa prospettiva si è posta la l. 124/2015, in particolare all’art. 18, nel delegare il Governo alla adozione di un decreto legislativo, vero e proprio Testo Unico, «per il riordino della disciplina in materia di partecipazioni societarie delle amministrazioni pubbliche». In attuazione della delega il Governo ha adottato in via preliminare, il 20 gennaio 2016, uno schema di decreto, cui si è fatto riferimento nei precedenti paragrafi in merito alla definizione delle società controllate, partecipate e quotate, che ha a oggetto «la costituzione di società da parte di amministrazioni pubbliche nonché l’acquisto, il mantenimento </w:t>
      </w:r>
      <w:r w:rsidRPr="00EC6EF6">
        <w:rPr>
          <w:rFonts w:ascii="Kristen ITC" w:hAnsi="Kristen ITC"/>
          <w:sz w:val="24"/>
          <w:szCs w:val="24"/>
        </w:rPr>
        <w:lastRenderedPageBreak/>
        <w:t xml:space="preserve">e la gestione di partecipazioni da parte di tali amministrazioni in società a totale o parziale partecipazione pubblica, diretta o indiretta». La nuova disciplina riguarda, quindi, gli enti in forma di società (per azioni o a responsabilità limitata), ma non gli enti in forma associativa e di fondazione (art. 1, co. 4). La nuova disciplina, al fine di perseguire gli scopi della riconduzione delle partecipazioni al perseguimento dei fini istituzionali dell’amministrazione e del massimo risparmio di risorse pubbliche, detta regole più stringenti sulle procedure di scelta quanto alla costituzione di nuove società o al mantenimento di partecipazioni in atto, che devono essere oggetto di “analitica motivazione” (art. 5) e di una annuale analisi dell’assetto delle società di cui detengono partecipazione, anche attraverso un “piano di riassetto” o di “razionalizzazione” (art. 20). Sono, poi, dettate norme sulle finalità perseguibili con la partecipazione in società (art. 4), sull’organizzazione e gestione delle società a controllo pubblico, quali l’adozione di contabilità separate per la distinzione tra attività di pubblico interesse e attività “svolte in regime di economia di mercato”, la valutazione del rischio aziendale, l’adozione di più qualificati strumenti di “governo societario” (art. 6), la gestione del personale secondo regole sul reclutamento che avvicinino tali società al regime del lavoro con le pubbliche amministrazioni (art. 19). Il legislatore persegue, quindi, in materia di società partecipate, un obiettivo di razionalizzazione e di più netta distinzione tra attività di pubblico interesse, che possono giustificare il mantenimento di società in controllo o di partecipazioni minoritarie, e attività economiche di mercato, da lasciare a soggetti privati non partecipati, soprattutto al fine di garantire la libera concorrenza e la riduzione degli sprechi di risorse pubbliche.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35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Considerato dal punto di vista della prevenzione della corruzione e della trasparenza il fenomeno qui esaminato (tenendo conto quindi anche degli enti di diritto privato diversi dalle società) presenta specifiche criticità che l’Autorità ha potuto rilevare anche nello svolgimento della sua attività di vigilanza, quali: a) la minore garanzia di imparzialità di coloro che operano presso gli enti, sia per quanto riguarda gli amministratori sia per quanto riguarda i funzionari, soprattutto quando gli enti siano chiamati a svolgere attività di pubblico interesse di particolare rilievo (si pensi allo svolgimento di funzioni pubbliche affidate, ovvero allo svolgimento di attività strumentali strettamente connesse con le funzioni pubbliche principali </w:t>
      </w:r>
      <w:r w:rsidRPr="00EC6EF6">
        <w:rPr>
          <w:rFonts w:ascii="Kristen ITC" w:hAnsi="Kristen ITC"/>
          <w:sz w:val="24"/>
          <w:szCs w:val="24"/>
        </w:rPr>
        <w:lastRenderedPageBreak/>
        <w:t xml:space="preserve">dell’amministrazione). Per gli amministratori valgono norme attenuate quanto ai requisiti di nomina e norme solo civilistiche di responsabilità. Per i dipendenti (con qualifica dirigenziale o meno) non viene applicato il principio del pubblico concorso; b) la maggiore distanza tra l’amministrazione affidante e il soggetto privato affidatario, con maggiori difficoltà nel controllo delle attività di pubblico interesse affidate; il problema è aggravato dal fatto che in molti casi l’esternalizzazione delle attività è motivata proprio dall’assenza, nell’amministrazione, di competenze professionali adeguate; in questi casi l’attività è svolta dall’ente privato e l’amministrazione si può trovare nella difficoltà di controllarne l’operato perché non è nelle condizioni di costituire adeguati uffici allo scopo; c) il moltiplicarsi di situazioni di conflitto di interessi in capo ad amministratori che siano titolari anche di interessi in altre società e enti di diritto privato; d) la maggiore esposizione delle attività di pubblico interesse affidate agli enti privati alle pressioni di interessi particolari, spesso dovuta al fatto obiettivo dello svolgimento di compiti rilevanti connessi all’esercizio di funzioni pubbliche (si pensi ad attività istruttorie svolte a favore degli uffici dell’amministrazioni) senza le garanzie di imparzialità e di partecipazione della legge sul procedimento amministrativo. Nella prospettiva della prevenzione della corruzione, pertanto, il presente PNA ritiene di indicare alle amministrazioni pubbliche, titolari di partecipazioni, soprattutto di controllo, in enti di diritto privato, ivi comprese quindi le associazioni e le fondazioni, una serie di misure, coerenti con il processo di revisione delle partecipazioni avviato con il testo unico di attuazione dell’art. 18 della l. 124/2015, ma mirate in modo specifico alla maggiore imparzialità e alla trasparenza, con particolare riguardo per le attività di pubblico interesse affidate agli enti partecipati. </w:t>
      </w:r>
      <w:r w:rsidRPr="00EC6EF6">
        <w:rPr>
          <w:rFonts w:ascii="Kristen ITC" w:hAnsi="Kristen ITC"/>
          <w:sz w:val="24"/>
          <w:szCs w:val="24"/>
        </w:rPr>
        <w:t> È opportuno che le amministrazioni considerino i profili della prevenzione della corruzione tra quelli da tenere in conto nei piani di riassetto e razionalizzazione delle partecipazioni. In questa prospettiva le amministrazioni valutano, ai fini dell’analitica motivazione per la costituzione di nuovi enti o del mantenimento di partecipazione in essere, se la forma privatistica sia adeguata alla garanzia dell’imparzialità e della trasparenza delle funzioni affidate, considerando, a tal fine, ipotesi di “</w:t>
      </w:r>
      <w:proofErr w:type="spellStart"/>
      <w:r w:rsidRPr="00EC6EF6">
        <w:rPr>
          <w:rFonts w:ascii="Kristen ITC" w:hAnsi="Kristen ITC"/>
          <w:sz w:val="24"/>
          <w:szCs w:val="24"/>
        </w:rPr>
        <w:t>reinternalizzazione</w:t>
      </w:r>
      <w:proofErr w:type="spellEnd"/>
      <w:r w:rsidRPr="00EC6EF6">
        <w:rPr>
          <w:rFonts w:ascii="Kristen ITC" w:hAnsi="Kristen ITC"/>
          <w:sz w:val="24"/>
          <w:szCs w:val="24"/>
        </w:rPr>
        <w:t xml:space="preserve">” dei compiti </w:t>
      </w:r>
      <w:proofErr w:type="gramStart"/>
      <w:r w:rsidRPr="00EC6EF6">
        <w:rPr>
          <w:rFonts w:ascii="Kristen ITC" w:hAnsi="Kristen ITC"/>
          <w:sz w:val="24"/>
          <w:szCs w:val="24"/>
        </w:rPr>
        <w:t xml:space="preserve">affidati.  </w:t>
      </w:r>
      <w:proofErr w:type="gramEnd"/>
      <w:r w:rsidRPr="00EC6EF6">
        <w:rPr>
          <w:rFonts w:ascii="Kristen ITC" w:hAnsi="Kristen ITC"/>
          <w:sz w:val="24"/>
          <w:szCs w:val="24"/>
        </w:rPr>
        <w:t xml:space="preserve"> Le amministrazioni valutano se sia necessario limitare l’esternalizzazione dei compiti di interesse pubblico. Ciò vale in particolare con riferimento alle attività strumentali; le amministrazioni dovrebbero vigilare perché siano affidate agli enti privati partecipati le sole attività strumentali più “lontane” dal diretto svolgimento di funzioni amministrative. Ad esempio, se possono essere utilmente esternalizzate attività di manutenzione o di pulizia, maggiore attenzione dovrebbe porsi per attività quali lo svolgimento di accertamenti istruttori relativi a </w:t>
      </w:r>
      <w:r w:rsidRPr="00EC6EF6">
        <w:rPr>
          <w:rFonts w:ascii="Kristen ITC" w:hAnsi="Kristen ITC"/>
          <w:sz w:val="24"/>
          <w:szCs w:val="24"/>
        </w:rPr>
        <w:lastRenderedPageBreak/>
        <w:t xml:space="preserve">procedimenti amministrativi o le stesse attività di informatizzazione di procedure amministrative. </w:t>
      </w:r>
      <w:r w:rsidRPr="00EC6EF6">
        <w:rPr>
          <w:rFonts w:ascii="Kristen ITC" w:hAnsi="Kristen ITC"/>
          <w:sz w:val="24"/>
          <w:szCs w:val="24"/>
        </w:rPr>
        <w:t xml:space="preserve"> Laddove si ritenga utile costituire una società mista secondo la vigente normativa in materia, le amministrazioni individuano il socio privato con procedure concorrenziali, vigilando attentamente sul possesso, da parte dei privati concorrenti, di requisiti non solo economici e professionali, ma anche di quelli attinenti la moralità e onorabilità.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36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Le amministrazioni sottopongono gli enti partecipati a più stringenti e frequenti controlli sugli assetti societari e sullo svolgimento delle attività di pubblico interesse affidate. In particolare, occorre avere riguardo alle procedure di affidamento di lavori, servizi e forniture, alle procedure di espropriazione di pubblico interesse, all’erogazione di servizi di interesse generale e di interesse economico generale. L’esternalizzazione può, infatti, giustificarsi in termini di maggiore efficienza, efficacia e economicità, ma non in termini di attenuazione delle garanzie di imparzialità. Nella valutazione di scelte organizzative tra esternalizzazione o </w:t>
      </w:r>
      <w:proofErr w:type="spellStart"/>
      <w:r w:rsidRPr="00EC6EF6">
        <w:rPr>
          <w:rFonts w:ascii="Kristen ITC" w:hAnsi="Kristen ITC"/>
          <w:sz w:val="24"/>
          <w:szCs w:val="24"/>
        </w:rPr>
        <w:t>reinternalizzazione</w:t>
      </w:r>
      <w:proofErr w:type="spellEnd"/>
      <w:r w:rsidRPr="00EC6EF6">
        <w:rPr>
          <w:rFonts w:ascii="Kristen ITC" w:hAnsi="Kristen ITC"/>
          <w:sz w:val="24"/>
          <w:szCs w:val="24"/>
        </w:rPr>
        <w:t xml:space="preserve"> va considerato anche il profilo della capacità dell’amministrazione di svolgere adeguati controlli. </w:t>
      </w:r>
      <w:r w:rsidRPr="00EC6EF6">
        <w:rPr>
          <w:rFonts w:ascii="Kristen ITC" w:hAnsi="Kristen ITC"/>
          <w:sz w:val="24"/>
          <w:szCs w:val="24"/>
        </w:rPr>
        <w:t xml:space="preserve"> Sempre qualora si ritenga di mantenere in vita enti di diritto privato a controllo pubblico destinati allo svolgimento di attività di pubblico interesse, le amministrazioni promuovono negli statuti di questi enti, la separazione, anche dal punto di vista organizzativo, di tali attività da quelle svolte in regime di concorrenza e di mercato. Qualora la separazione organizzativa sia complessa, è necessario adottare il criterio della separazione contabile tra le due tipologie di </w:t>
      </w:r>
      <w:proofErr w:type="gramStart"/>
      <w:r w:rsidRPr="00EC6EF6">
        <w:rPr>
          <w:rFonts w:ascii="Kristen ITC" w:hAnsi="Kristen ITC"/>
          <w:sz w:val="24"/>
          <w:szCs w:val="24"/>
        </w:rPr>
        <w:t xml:space="preserve">attività.  </w:t>
      </w:r>
      <w:proofErr w:type="gramEnd"/>
      <w:r w:rsidRPr="00EC6EF6">
        <w:rPr>
          <w:rFonts w:ascii="Kristen ITC" w:hAnsi="Kristen ITC"/>
          <w:sz w:val="24"/>
          <w:szCs w:val="24"/>
        </w:rPr>
        <w:t xml:space="preserve"> Occorre promuovere l’introduzione negli enti di diritto privato a controllo pubblico (così come definiti dal testo unico attuativo dell’art. 18 della l. 124/2015), quanto alla disciplina del personale, di regole che avvicinino tale personale a quello delle pubbliche amministrazioni, ai fini della garanzia dell’imparzialità. Ciò comporta, nel rispetto dei principi richiamati dall’art. 19, co. 3, dello schema di testo unico, l’adozione di procedure concorsuali per il reclutamento, sottratte alla diretta scelta degli amministratori degli enti, nonché procedure di affidamento di incarichi equivalenti agli incarichi dirigenziali nelle pubbliche amministrazioni che diano analoghe garanzie di imparzialità, soprattutto qualora tali incarichi siano relativi ad uffici cui sono affidate le attività di pubblico interesse (nella misura in cui è stato </w:t>
      </w:r>
      <w:r w:rsidRPr="00EC6EF6">
        <w:rPr>
          <w:rFonts w:ascii="Kristen ITC" w:hAnsi="Kristen ITC"/>
          <w:sz w:val="24"/>
          <w:szCs w:val="24"/>
        </w:rPr>
        <w:lastRenderedPageBreak/>
        <w:t xml:space="preserve">possibile separare organizzativamente tali uffici). Comporta altresì il riconoscimento in capo ai responsabili di tali uffici (comunque delle attività di pubblico interesse) di garanzie di autonomia gestionale comparabili con quelle riconosciute ai dirigenti delle pubbliche amministrazioni. Comporta, poi, l’applicazione a questo personale delle regole sulla trasparenza secondo quanto previsto dal d.lgs. 33/2013. Le amministrazioni promuovono, infine, l’applicazione al personale degli enti a controllo pubblico dei codici di comportamento, vigilando anche sugli effetti giuridici, in termini di responsabilità disciplinare, della violazione dei doveri previsti nei codici, in piena analogia con quanto è disposto per il personale delle pubbliche amministrazioni.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7.5 </w:t>
      </w:r>
    </w:p>
    <w:p w:rsidR="00EC6EF6" w:rsidRPr="00EC6EF6" w:rsidRDefault="00EC6EF6" w:rsidP="00EC6EF6">
      <w:pPr>
        <w:jc w:val="both"/>
        <w:rPr>
          <w:rFonts w:ascii="Kristen ITC" w:hAnsi="Kristen ITC"/>
          <w:sz w:val="24"/>
          <w:szCs w:val="24"/>
        </w:rPr>
      </w:pPr>
      <w:proofErr w:type="spellStart"/>
      <w:proofErr w:type="gramStart"/>
      <w:r w:rsidRPr="00EC6EF6">
        <w:rPr>
          <w:rFonts w:ascii="Kristen ITC" w:hAnsi="Kristen ITC"/>
          <w:sz w:val="24"/>
          <w:szCs w:val="24"/>
        </w:rPr>
        <w:t>Whistleblowing</w:t>
      </w:r>
      <w:proofErr w:type="spellEnd"/>
      <w:r w:rsidRPr="00EC6EF6">
        <w:rPr>
          <w:rFonts w:ascii="Kristen ITC" w:hAnsi="Kristen ITC"/>
          <w:sz w:val="24"/>
          <w:szCs w:val="24"/>
        </w:rPr>
        <w:t xml:space="preserve">  La</w:t>
      </w:r>
      <w:proofErr w:type="gramEnd"/>
      <w:r w:rsidRPr="00EC6EF6">
        <w:rPr>
          <w:rFonts w:ascii="Kristen ITC" w:hAnsi="Kristen ITC"/>
          <w:sz w:val="24"/>
          <w:szCs w:val="24"/>
        </w:rPr>
        <w:t xml:space="preserve"> tutela del dipendente pubblico che segnala illeciti è stata introdotta nel nostro ordinamento quale misura di prevenzione della corruzione, imponendo peraltro alle amministrazioni di individuare una procedura finalizzata a garantire tale tutela e a stimolare le segnalazioni da parte del dipendente. Quale misura di prevenzione della corruzione, il </w:t>
      </w:r>
      <w:proofErr w:type="spellStart"/>
      <w:r w:rsidRPr="00EC6EF6">
        <w:rPr>
          <w:rFonts w:ascii="Kristen ITC" w:hAnsi="Kristen ITC"/>
          <w:sz w:val="24"/>
          <w:szCs w:val="24"/>
        </w:rPr>
        <w:t>whistleblowing</w:t>
      </w:r>
      <w:proofErr w:type="spellEnd"/>
      <w:r w:rsidRPr="00EC6EF6">
        <w:rPr>
          <w:rFonts w:ascii="Kristen ITC" w:hAnsi="Kristen ITC"/>
          <w:sz w:val="24"/>
          <w:szCs w:val="24"/>
        </w:rPr>
        <w:t xml:space="preserve"> deve trovare posto e disciplina in ogni PTPC. A tal proposito è visto con favore da parte di questa Autorità l’inserimento di misure che vadano nella prospettiva di riforma dell’istituto di seguito elencate. Per colmare le lacune della norma e indirizzare le amministrazioni nell’utilizzo di tale strumento di prevenzione della corruzione l’Autorità ha adottato la determinazione n. 6 del 28 aprile 2015 «Linee guida in materia di tutela del dipendente pubblico che segnala illeciti» da ritenersi integralmente qui recepita.  Si sottolinea la necessità che la segnalazione, ovvero la denuncia, sia “in buona fede”: la segnalazione è effettuata nell’interesse dell’integrità della pubblica amministrazione; l’istituto, quindi, non deve essere utilizzato per esigenze individuali, ma finalizzato a promuovere l’etica e l’integrità nella pubblica amministrazione.  </w:t>
      </w:r>
    </w:p>
    <w:p w:rsidR="00EC6EF6" w:rsidRPr="00EC6EF6" w:rsidRDefault="00EC6EF6" w:rsidP="00EC6EF6">
      <w:pPr>
        <w:jc w:val="both"/>
        <w:rPr>
          <w:rFonts w:ascii="Kristen ITC" w:hAnsi="Kristen ITC"/>
          <w:sz w:val="24"/>
          <w:szCs w:val="24"/>
        </w:rPr>
      </w:pP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37 </w:t>
      </w:r>
    </w:p>
    <w:p w:rsidR="00EC6EF6" w:rsidRPr="00EC6EF6" w:rsidRDefault="00EC6EF6" w:rsidP="00EC6EF6">
      <w:pPr>
        <w:jc w:val="both"/>
        <w:rPr>
          <w:rFonts w:ascii="Kristen ITC" w:hAnsi="Kristen ITC"/>
          <w:sz w:val="24"/>
          <w:szCs w:val="24"/>
        </w:rPr>
      </w:pPr>
      <w:r w:rsidRPr="00EC6EF6">
        <w:rPr>
          <w:rFonts w:ascii="Kristen ITC" w:hAnsi="Kristen ITC"/>
          <w:sz w:val="24"/>
          <w:szCs w:val="24"/>
        </w:rPr>
        <w:t xml:space="preserve"> </w:t>
      </w:r>
    </w:p>
    <w:p w:rsidR="00EC6EF6" w:rsidRDefault="00EC6EF6" w:rsidP="00EC6EF6">
      <w:pPr>
        <w:jc w:val="both"/>
        <w:rPr>
          <w:rFonts w:ascii="Kristen ITC" w:hAnsi="Kristen ITC"/>
          <w:sz w:val="24"/>
          <w:szCs w:val="24"/>
        </w:rPr>
      </w:pPr>
      <w:r w:rsidRPr="00EC6EF6">
        <w:rPr>
          <w:rFonts w:ascii="Kristen ITC" w:hAnsi="Kristen ITC"/>
          <w:sz w:val="24"/>
          <w:szCs w:val="24"/>
        </w:rPr>
        <w:t xml:space="preserve">Particolare attenzione deve essere posta dai vertici dell’amministrazione e dal RPCT affinché non si radichino, in conseguenza dell’attività svolta dal RPCT, comportamenti discriminatori.  Si richiamano, infine, le pubbliche amministrazioni </w:t>
      </w:r>
      <w:r w:rsidRPr="00EC6EF6">
        <w:rPr>
          <w:rFonts w:ascii="Kristen ITC" w:hAnsi="Kristen ITC"/>
          <w:sz w:val="24"/>
          <w:szCs w:val="24"/>
        </w:rPr>
        <w:lastRenderedPageBreak/>
        <w:t xml:space="preserve">al rispetto dell’art. 54-bis del d.lgs. 165/2001 e, in particolar modo, si evidenzia che non vi è una gerarchia fra i canali di segnalazioni previsti dal legislatore, non dovendosi, quindi, sanzionare (disciplinarmente) il dipendente che non si rivolge all’interno della propria amministrazione per denunciare situazioni di </w:t>
      </w:r>
      <w:proofErr w:type="spellStart"/>
      <w:r w:rsidRPr="00EC6EF6">
        <w:rPr>
          <w:rFonts w:ascii="Kristen ITC" w:hAnsi="Kristen ITC"/>
          <w:sz w:val="24"/>
          <w:szCs w:val="24"/>
        </w:rPr>
        <w:t>maladministration</w:t>
      </w:r>
      <w:proofErr w:type="spellEnd"/>
      <w:r w:rsidRPr="00EC6EF6">
        <w:rPr>
          <w:rFonts w:ascii="Kristen ITC" w:hAnsi="Kristen ITC"/>
          <w:sz w:val="24"/>
          <w:szCs w:val="24"/>
        </w:rPr>
        <w:t>. Si ricorda che l’Autorità si sta dotando di una piattaforma Open Source basata su componenti tecnologiche stabili e ampiamente diffuse: si tratta di un sistema in grado di garantire, attraverso l’utilizzazione di tecnologie di crittografia moderne e standard, la tutela della confidenzialità dei questionari e degli allegati, nonché la riservatezza dell’identità dei segnalanti. La piattaforma sarà messa a disposizione delle amministrazioni, consentendo così da parte di ciascuna di esse un risparmio di risorse umane e finanziarie nel dotarsi della tecnologia necessaria per adempiere al disposto normativo.</w:t>
      </w:r>
    </w:p>
    <w:p w:rsidR="00EC6EF6" w:rsidRDefault="00EC6EF6" w:rsidP="00EC6EF6">
      <w:pPr>
        <w:jc w:val="both"/>
        <w:rPr>
          <w:rFonts w:ascii="Kristen ITC" w:hAnsi="Kristen ITC"/>
          <w:sz w:val="24"/>
          <w:szCs w:val="24"/>
        </w:rPr>
      </w:pPr>
      <w:r w:rsidRPr="00EC6EF6">
        <w:rPr>
          <w:rFonts w:ascii="Kristen ITC" w:hAnsi="Kristen ITC"/>
          <w:sz w:val="24"/>
          <w:szCs w:val="24"/>
          <w:u w:val="single"/>
        </w:rPr>
        <w:t>PARTE SPECIALE</w:t>
      </w:r>
      <w:r>
        <w:rPr>
          <w:rFonts w:ascii="Kristen ITC" w:hAnsi="Kristen ITC"/>
          <w:sz w:val="24"/>
          <w:szCs w:val="24"/>
        </w:rPr>
        <w:t>:</w:t>
      </w:r>
    </w:p>
    <w:p w:rsidR="00D43D2E" w:rsidRPr="00D43D2E" w:rsidRDefault="00D43D2E" w:rsidP="00D43D2E">
      <w:pPr>
        <w:jc w:val="both"/>
        <w:rPr>
          <w:rFonts w:ascii="Berlin Sans FB" w:eastAsiaTheme="minorHAnsi" w:hAnsi="Berlin Sans FB" w:cstheme="minorBidi"/>
          <w:sz w:val="24"/>
          <w:szCs w:val="24"/>
        </w:rPr>
      </w:pPr>
      <w:r>
        <w:rPr>
          <w:rFonts w:ascii="Kristen ITC" w:hAnsi="Kristen ITC"/>
          <w:sz w:val="24"/>
          <w:szCs w:val="24"/>
        </w:rPr>
        <w:t>“</w:t>
      </w:r>
      <w:r w:rsidRPr="00D43D2E">
        <w:rPr>
          <w:rFonts w:ascii="Berlin Sans FB" w:eastAsiaTheme="minorHAnsi" w:hAnsi="Berlin Sans FB" w:cstheme="minorBidi"/>
          <w:sz w:val="24"/>
          <w:szCs w:val="24"/>
        </w:rPr>
        <w:t xml:space="preserve">I - PICCOLI COMUNI  </w:t>
      </w:r>
    </w:p>
    <w:p w:rsidR="00D43D2E" w:rsidRPr="00D43D2E" w:rsidRDefault="00D43D2E" w:rsidP="00D43D2E">
      <w:pPr>
        <w:spacing w:after="160" w:line="259" w:lineRule="auto"/>
        <w:jc w:val="both"/>
        <w:rPr>
          <w:rFonts w:ascii="Berlin Sans FB" w:eastAsiaTheme="minorHAnsi" w:hAnsi="Berlin Sans FB" w:cstheme="minorBidi"/>
          <w:sz w:val="24"/>
          <w:szCs w:val="24"/>
        </w:rPr>
      </w:pPr>
      <w:r w:rsidRPr="00D43D2E">
        <w:rPr>
          <w:rFonts w:ascii="Berlin Sans FB" w:eastAsiaTheme="minorHAnsi" w:hAnsi="Berlin Sans FB" w:cstheme="minorBidi"/>
          <w:sz w:val="24"/>
          <w:szCs w:val="24"/>
        </w:rPr>
        <w:t xml:space="preserve"> </w:t>
      </w:r>
    </w:p>
    <w:p w:rsidR="00D43D2E" w:rsidRPr="00D43D2E" w:rsidRDefault="00D43D2E" w:rsidP="00D43D2E">
      <w:pPr>
        <w:spacing w:after="160" w:line="259" w:lineRule="auto"/>
        <w:jc w:val="both"/>
        <w:rPr>
          <w:rFonts w:ascii="Berlin Sans FB" w:eastAsiaTheme="minorHAnsi" w:hAnsi="Berlin Sans FB" w:cstheme="minorBidi"/>
          <w:sz w:val="24"/>
          <w:szCs w:val="24"/>
        </w:rPr>
      </w:pPr>
      <w:r w:rsidRPr="00D43D2E">
        <w:rPr>
          <w:rFonts w:ascii="Berlin Sans FB" w:eastAsiaTheme="minorHAnsi" w:hAnsi="Berlin Sans FB" w:cstheme="minorBidi"/>
          <w:sz w:val="24"/>
          <w:szCs w:val="24"/>
        </w:rPr>
        <w:t xml:space="preserve">Premessa Le indicazioni fornite in questo approfondimento del PNA sono rivolte ai piccoli comuni, enti locali di dimensioni organizzative ridotte, che, anche dall’esame dei PTPC dall’Autorità, presentano difficoltà nell’applicazione della normativa anticorruzione e trasparenza, spesso a causa dell’esiguità di risorse umane e finanziarie a disposizione. Lo stesso legislatore, nella novellata disciplina in materia di prevenzione della corruzione e trasparenza, ha rivolto particolare attenzione a tali enti al fine di agevolare l’applicazione della normativa, individuando modalità organizzative e attuative semplificate. </w:t>
      </w:r>
    </w:p>
    <w:p w:rsidR="00D43D2E" w:rsidRPr="00D43D2E" w:rsidRDefault="00D43D2E" w:rsidP="00D43D2E">
      <w:pPr>
        <w:spacing w:after="160" w:line="259" w:lineRule="auto"/>
        <w:jc w:val="both"/>
        <w:rPr>
          <w:rFonts w:ascii="Berlin Sans FB" w:eastAsiaTheme="minorHAnsi" w:hAnsi="Berlin Sans FB" w:cstheme="minorBidi"/>
          <w:sz w:val="24"/>
          <w:szCs w:val="24"/>
        </w:rPr>
      </w:pPr>
      <w:r w:rsidRPr="00D43D2E">
        <w:rPr>
          <w:rFonts w:ascii="Berlin Sans FB" w:eastAsiaTheme="minorHAnsi" w:hAnsi="Berlin Sans FB" w:cstheme="minorBidi"/>
          <w:sz w:val="24"/>
          <w:szCs w:val="24"/>
        </w:rPr>
        <w:t xml:space="preserve"> </w:t>
      </w:r>
    </w:p>
    <w:p w:rsidR="00D43D2E" w:rsidRPr="00D43D2E" w:rsidRDefault="00D43D2E" w:rsidP="00D43D2E">
      <w:pPr>
        <w:spacing w:after="160" w:line="259" w:lineRule="auto"/>
        <w:jc w:val="both"/>
        <w:rPr>
          <w:rFonts w:ascii="Berlin Sans FB" w:eastAsiaTheme="minorHAnsi" w:hAnsi="Berlin Sans FB" w:cstheme="minorBidi"/>
          <w:sz w:val="24"/>
          <w:szCs w:val="24"/>
        </w:rPr>
      </w:pPr>
      <w:r w:rsidRPr="00D43D2E">
        <w:rPr>
          <w:rFonts w:ascii="Berlin Sans FB" w:eastAsiaTheme="minorHAnsi" w:hAnsi="Berlin Sans FB" w:cstheme="minorBidi"/>
          <w:sz w:val="24"/>
          <w:szCs w:val="24"/>
        </w:rPr>
        <w:t xml:space="preserve">1. I “piccoli comuni” nella normativa di prevenzione della </w:t>
      </w:r>
      <w:proofErr w:type="gramStart"/>
      <w:r w:rsidRPr="00D43D2E">
        <w:rPr>
          <w:rFonts w:ascii="Berlin Sans FB" w:eastAsiaTheme="minorHAnsi" w:hAnsi="Berlin Sans FB" w:cstheme="minorBidi"/>
          <w:sz w:val="24"/>
          <w:szCs w:val="24"/>
        </w:rPr>
        <w:t>corruzione  Per</w:t>
      </w:r>
      <w:proofErr w:type="gramEnd"/>
      <w:r w:rsidRPr="00D43D2E">
        <w:rPr>
          <w:rFonts w:ascii="Berlin Sans FB" w:eastAsiaTheme="minorHAnsi" w:hAnsi="Berlin Sans FB" w:cstheme="minorBidi"/>
          <w:sz w:val="24"/>
          <w:szCs w:val="24"/>
        </w:rPr>
        <w:t xml:space="preserve"> delimitare l’ambito di applicazione delle indicazioni relative ai piccoli comuni, occorre identificare un criterio idoneo ad assicurare chiarezza nell’applicazione della disciplina in tema di prevenzione della corruzione. Si ritiene che tale criterio possa essere rappresentato dal numero di abitanti, facendo rientrare nel novero dei piccoli comuni quelli con popolazione inferiore a 15.000 abitanti. Tale criterio riprende quello utilizzato dagli artt. 71 e 73 del decreto legislativo 8 agosto 2000, n. 267 (Testo Unico degli Enti Locali, di seguito TUEL) per disciplinare i differenti sistemi elettorali vigenti negli enti locali. Esso distingue i comuni in due categorie a seconda che il numero di abitanti sia inferiore o superiore a 15.000 riconoscendo, per quelli rientranti nella prima categoria, rilevanti semplificazioni.  L’Autorità, inoltre, ha tenuto conto di quanto previsto nell’art. 3, co. 1-ter, del d.lgs. 33/2013, introdotto dal d.lgs. 97/2016, che dispone che «L’Autorità nazionale anticorruzione può, con il Piano Nazionale Anticorruzione, nel rispetto delle disposizioni del presente decreto, precisare gli obblighi di pubblicazione e le relative modalità di attuazione, in relazione alla natura dei soggetti, alla loro dimensione organizzativa e alle attività svolte, prevedendo in particolare modalità semplificate per i comuni con popolazione inferiore a 15.000 abitanti, per gli ordini e </w:t>
      </w:r>
      <w:r w:rsidRPr="00D43D2E">
        <w:rPr>
          <w:rFonts w:ascii="Berlin Sans FB" w:eastAsiaTheme="minorHAnsi" w:hAnsi="Berlin Sans FB" w:cstheme="minorBidi"/>
          <w:sz w:val="24"/>
          <w:szCs w:val="24"/>
        </w:rPr>
        <w:lastRenderedPageBreak/>
        <w:t xml:space="preserve">collegi professionali».  È stata altresì seguita un’indicazione di fondo sul favore per forme associative al fine della predisposizione dei PTPC espressa nell’art. 1, co. 6, della l. 190/2012, come sostituito dal d.lgs. 97/2016, secondo cui «i comuni con popolazione inferiore a 15.000 abitanti possono aggregarsi per definire in comune, tramite accordi ai sensi dell’articolo 15 della legge 7 agosto 1990, n. 241, il piano triennale per la prevenzione della corruzione, secondo le indicazioni contenute nel Piano nazionale anticorruzione». </w:t>
      </w:r>
    </w:p>
    <w:p w:rsidR="00D43D2E" w:rsidRPr="00D43D2E" w:rsidRDefault="00D43D2E" w:rsidP="00D43D2E">
      <w:pPr>
        <w:spacing w:after="160" w:line="259" w:lineRule="auto"/>
        <w:jc w:val="both"/>
        <w:rPr>
          <w:rFonts w:ascii="Berlin Sans FB" w:eastAsiaTheme="minorHAnsi" w:hAnsi="Berlin Sans FB" w:cstheme="minorBidi"/>
          <w:sz w:val="24"/>
          <w:szCs w:val="24"/>
        </w:rPr>
      </w:pPr>
      <w:r w:rsidRPr="00D43D2E">
        <w:rPr>
          <w:rFonts w:ascii="Berlin Sans FB" w:eastAsiaTheme="minorHAnsi" w:hAnsi="Berlin Sans FB" w:cstheme="minorBidi"/>
          <w:sz w:val="24"/>
          <w:szCs w:val="24"/>
        </w:rPr>
        <w:t xml:space="preserve"> </w:t>
      </w:r>
    </w:p>
    <w:p w:rsidR="00D43D2E" w:rsidRPr="00D43D2E" w:rsidRDefault="00D43D2E" w:rsidP="00D43D2E">
      <w:pPr>
        <w:spacing w:after="160" w:line="259" w:lineRule="auto"/>
        <w:jc w:val="both"/>
        <w:rPr>
          <w:rFonts w:ascii="Berlin Sans FB" w:eastAsiaTheme="minorHAnsi" w:hAnsi="Berlin Sans FB" w:cstheme="minorBidi"/>
          <w:sz w:val="24"/>
          <w:szCs w:val="24"/>
        </w:rPr>
      </w:pPr>
      <w:r w:rsidRPr="00D43D2E">
        <w:rPr>
          <w:rFonts w:ascii="Berlin Sans FB" w:eastAsiaTheme="minorHAnsi" w:hAnsi="Berlin Sans FB" w:cstheme="minorBidi"/>
          <w:sz w:val="24"/>
          <w:szCs w:val="24"/>
        </w:rPr>
        <w:t xml:space="preserve">2. Valutazione dei PTPC dei piccoli comuni Dall’analisi del campione di PTPC 2016 di piccoli comuni13 svolta dall’Autorità si è rafforzata la convinzione della necessità di interventi di semplificazione dell’attuazione della normativa per gli enti di piccoli dimensioni, in una logica di ausilio e sostegno e non derogatoria della normativa. Ciò al fine di fornire ai piccoli comuni un supporto per evitare che le attività di individuazione e attuazione delle misure organizzative di prevenzione della corruzione siano intese come un mero adempimento burocratico, piuttosto che come un processo costante e sinergico finalizzato alla ricerca di maggiore funzionalità e - di conseguenza - alla prevenzione di fenomeni di </w:t>
      </w:r>
      <w:proofErr w:type="spellStart"/>
      <w:r w:rsidRPr="00D43D2E">
        <w:rPr>
          <w:rFonts w:ascii="Berlin Sans FB" w:eastAsiaTheme="minorHAnsi" w:hAnsi="Berlin Sans FB" w:cstheme="minorBidi"/>
          <w:sz w:val="24"/>
          <w:szCs w:val="24"/>
        </w:rPr>
        <w:t>maladministration</w:t>
      </w:r>
      <w:proofErr w:type="spellEnd"/>
      <w:r w:rsidRPr="00D43D2E">
        <w:rPr>
          <w:rFonts w:ascii="Berlin Sans FB" w:eastAsiaTheme="minorHAnsi" w:hAnsi="Berlin Sans FB" w:cstheme="minorBidi"/>
          <w:sz w:val="24"/>
          <w:szCs w:val="24"/>
        </w:rPr>
        <w:t xml:space="preserve">.  </w:t>
      </w:r>
    </w:p>
    <w:p w:rsidR="00D43D2E" w:rsidRPr="00D43D2E" w:rsidRDefault="00D43D2E" w:rsidP="00D43D2E">
      <w:pPr>
        <w:spacing w:after="160" w:line="259" w:lineRule="auto"/>
        <w:jc w:val="both"/>
        <w:rPr>
          <w:rFonts w:ascii="Berlin Sans FB" w:eastAsiaTheme="minorHAnsi" w:hAnsi="Berlin Sans FB" w:cstheme="minorBidi"/>
          <w:sz w:val="24"/>
          <w:szCs w:val="24"/>
        </w:rPr>
      </w:pPr>
      <w:r w:rsidRPr="00D43D2E">
        <w:rPr>
          <w:rFonts w:ascii="Berlin Sans FB" w:eastAsiaTheme="minorHAnsi" w:hAnsi="Berlin Sans FB" w:cstheme="minorBidi"/>
          <w:sz w:val="24"/>
          <w:szCs w:val="24"/>
        </w:rPr>
        <w:t xml:space="preserve">                                                     </w:t>
      </w:r>
    </w:p>
    <w:p w:rsidR="00D43D2E" w:rsidRPr="00D43D2E" w:rsidRDefault="00D43D2E" w:rsidP="00D43D2E">
      <w:pPr>
        <w:spacing w:after="160" w:line="259" w:lineRule="auto"/>
        <w:jc w:val="both"/>
        <w:rPr>
          <w:rFonts w:ascii="Berlin Sans FB" w:eastAsiaTheme="minorHAnsi" w:hAnsi="Berlin Sans FB" w:cstheme="minorBidi"/>
          <w:sz w:val="24"/>
          <w:szCs w:val="24"/>
        </w:rPr>
      </w:pPr>
      <w:r w:rsidRPr="00D43D2E">
        <w:rPr>
          <w:rFonts w:ascii="Berlin Sans FB" w:eastAsiaTheme="minorHAnsi" w:hAnsi="Berlin Sans FB" w:cstheme="minorBidi"/>
          <w:sz w:val="24"/>
          <w:szCs w:val="24"/>
        </w:rPr>
        <w:t xml:space="preserve"> 13 Il campione analizzato è costituito da 39 comuni minori o uguali a 5.000 abitanti; 21 con popolazione tra i 5.000 fino a 15.000; 3 unioni di comuni. </w:t>
      </w:r>
    </w:p>
    <w:p w:rsidR="00D43D2E" w:rsidRPr="00D43D2E" w:rsidRDefault="00D43D2E" w:rsidP="00D43D2E">
      <w:pPr>
        <w:spacing w:after="160" w:line="259" w:lineRule="auto"/>
        <w:jc w:val="both"/>
        <w:rPr>
          <w:rFonts w:ascii="Berlin Sans FB" w:eastAsiaTheme="minorHAnsi" w:hAnsi="Berlin Sans FB" w:cstheme="minorBidi"/>
          <w:sz w:val="24"/>
          <w:szCs w:val="24"/>
        </w:rPr>
      </w:pPr>
      <w:r w:rsidRPr="00D43D2E">
        <w:rPr>
          <w:rFonts w:ascii="Berlin Sans FB" w:eastAsiaTheme="minorHAnsi" w:hAnsi="Berlin Sans FB" w:cstheme="minorBidi"/>
          <w:sz w:val="24"/>
          <w:szCs w:val="24"/>
        </w:rPr>
        <w:t xml:space="preserve"> Gli esiti della valutazione hanno evidenziato in particolare, rispetto a quanto già riportato nel § 2 della parte generale, le seguenti criticità: - difficoltà di individuare eventi rischiosi e di effettuare la gestione del rischio; - carente analisi del contesto esterno ed interno in oltre la metà dei PTPC analizzati e la quasi totale assenza di un sistema di monitoraggio sull'implementazione del PTPC; - genericità delle misure individuate, presentate per lo più in forma di elenco e prevalentemente limitate a quelle relative alla formazione, al </w:t>
      </w:r>
      <w:proofErr w:type="spellStart"/>
      <w:r w:rsidRPr="00D43D2E">
        <w:rPr>
          <w:rFonts w:ascii="Berlin Sans FB" w:eastAsiaTheme="minorHAnsi" w:hAnsi="Berlin Sans FB" w:cstheme="minorBidi"/>
          <w:sz w:val="24"/>
          <w:szCs w:val="24"/>
        </w:rPr>
        <w:t>whistleblowing</w:t>
      </w:r>
      <w:proofErr w:type="spellEnd"/>
      <w:r w:rsidRPr="00D43D2E">
        <w:rPr>
          <w:rFonts w:ascii="Berlin Sans FB" w:eastAsiaTheme="minorHAnsi" w:hAnsi="Berlin Sans FB" w:cstheme="minorBidi"/>
          <w:sz w:val="24"/>
          <w:szCs w:val="24"/>
        </w:rPr>
        <w:t xml:space="preserve"> e al codice di comportamento;  - insufficienti o generiche indicazioni delle prerogative attribuite al RPCT per lo svolgimento dei propri compiti. </w:t>
      </w:r>
    </w:p>
    <w:p w:rsidR="00D43D2E" w:rsidRPr="00D43D2E" w:rsidRDefault="00D43D2E" w:rsidP="00D43D2E">
      <w:pPr>
        <w:spacing w:after="160" w:line="259" w:lineRule="auto"/>
        <w:jc w:val="both"/>
        <w:rPr>
          <w:rFonts w:ascii="Berlin Sans FB" w:eastAsiaTheme="minorHAnsi" w:hAnsi="Berlin Sans FB" w:cstheme="minorBidi"/>
          <w:sz w:val="24"/>
          <w:szCs w:val="24"/>
        </w:rPr>
      </w:pPr>
      <w:r w:rsidRPr="00D43D2E">
        <w:rPr>
          <w:rFonts w:ascii="Berlin Sans FB" w:eastAsiaTheme="minorHAnsi" w:hAnsi="Berlin Sans FB" w:cstheme="minorBidi"/>
          <w:sz w:val="24"/>
          <w:szCs w:val="24"/>
        </w:rPr>
        <w:t xml:space="preserve">3. Prevenzione della corruzione nelle forme associative tra enti locali Alla luce delle valutazioni riportate sopra, si ritiene che l’esigua dimensione organizzativa, la proiezione esclusivamente locale delle scelte amministrative e la conseguente frammentazione della strategia di contrasto alla corruzione tra le molteplici realtà locali rappresentino gravi ostacoli a un efficace contrasto alla corruzione.  Le indicazioni che seguono, pertanto, sono principalmente indirizzate a favorire forme di aggregazione tra i comuni che consentano, da un lato, di garantire idoneità di risorse e mezzi e dall’altro di assicurare una risposta alla corruzione non solo locale ma più propriamente territoriale e unitaria. A questo scopo, alcune delle semplificazioni e degli adattamenti proposti si rivolgono esclusivamente ai comuni che abbiano deciso di operare in forma associata, mediante le unioni di comuni, le convenzioni e gli accordi, come previsto dall’art. 41, co. 1, </w:t>
      </w:r>
      <w:proofErr w:type="spellStart"/>
      <w:r w:rsidRPr="00D43D2E">
        <w:rPr>
          <w:rFonts w:ascii="Berlin Sans FB" w:eastAsiaTheme="minorHAnsi" w:hAnsi="Berlin Sans FB" w:cstheme="minorBidi"/>
          <w:sz w:val="24"/>
          <w:szCs w:val="24"/>
        </w:rPr>
        <w:t>lett</w:t>
      </w:r>
      <w:proofErr w:type="spellEnd"/>
      <w:r w:rsidRPr="00D43D2E">
        <w:rPr>
          <w:rFonts w:ascii="Berlin Sans FB" w:eastAsiaTheme="minorHAnsi" w:hAnsi="Berlin Sans FB" w:cstheme="minorBidi"/>
          <w:sz w:val="24"/>
          <w:szCs w:val="24"/>
        </w:rPr>
        <w:t xml:space="preserve">. e) del d.lgs. 97/2016. Altre semplificazioni, di carattere generale, destinate tanto alle unioni e alle convenzioni quanto ai singoli comuni con popolazione inferiore a 15.000 abitanti, sono invece analizzate nel § 4. Il </w:t>
      </w:r>
      <w:proofErr w:type="spellStart"/>
      <w:r w:rsidRPr="00D43D2E">
        <w:rPr>
          <w:rFonts w:ascii="Berlin Sans FB" w:eastAsiaTheme="minorHAnsi" w:hAnsi="Berlin Sans FB" w:cstheme="minorBidi"/>
          <w:sz w:val="24"/>
          <w:szCs w:val="24"/>
        </w:rPr>
        <w:t>favor</w:t>
      </w:r>
      <w:proofErr w:type="spellEnd"/>
      <w:r w:rsidRPr="00D43D2E">
        <w:rPr>
          <w:rFonts w:ascii="Berlin Sans FB" w:eastAsiaTheme="minorHAnsi" w:hAnsi="Berlin Sans FB" w:cstheme="minorBidi"/>
          <w:sz w:val="24"/>
          <w:szCs w:val="24"/>
        </w:rPr>
        <w:t xml:space="preserve"> per l’associazione delle funzioni sembra in linea con l’attuale processo legislativo di riorganizzazione degli enti locali di piccole dimensioni. Ci si riferisce, in particolare, a quanto previsto dall’art. 14, co. 31 ter, del decreto legge 31 maggio 2010, n. 78 (convertito dalla </w:t>
      </w:r>
      <w:r w:rsidRPr="00D43D2E">
        <w:rPr>
          <w:rFonts w:ascii="Berlin Sans FB" w:eastAsiaTheme="minorHAnsi" w:hAnsi="Berlin Sans FB" w:cstheme="minorBidi"/>
          <w:sz w:val="24"/>
          <w:szCs w:val="24"/>
        </w:rPr>
        <w:lastRenderedPageBreak/>
        <w:t xml:space="preserve">legge 30 luglio 2010, n. 122) «Misure urgenti in materia di stabilizzazione finanziaria e di competitività economica» che introduce, per i comuni con popolazione inferiore a 5.000 abitanti, l’obbligo della gestione associata delle funzioni fondamentali tramite unione o convenzione da attuare, a seguito di proroghe successive, entro il 31 dicembre 2016.  Con riferimento al tema delle funzioni fondamentali, si ritiene opportuno precisare fin da ora che, ad avviso dell’Autorità, le attività in tema di anticorruzione e trasparenza, per le implicazioni gestionali e operative che comportano, dovrebbero essere considerate all’interno della funzione di organizzazione generale dell'amministrazione, a sua volta annoverata tra quelle fondamentali dall’art. 14, co. 27, del già citato </w:t>
      </w:r>
      <w:proofErr w:type="spellStart"/>
      <w:r w:rsidRPr="00D43D2E">
        <w:rPr>
          <w:rFonts w:ascii="Berlin Sans FB" w:eastAsiaTheme="minorHAnsi" w:hAnsi="Berlin Sans FB" w:cstheme="minorBidi"/>
          <w:sz w:val="24"/>
          <w:szCs w:val="24"/>
        </w:rPr>
        <w:t>d.l.</w:t>
      </w:r>
      <w:proofErr w:type="spellEnd"/>
      <w:r w:rsidRPr="00D43D2E">
        <w:rPr>
          <w:rFonts w:ascii="Berlin Sans FB" w:eastAsiaTheme="minorHAnsi" w:hAnsi="Berlin Sans FB" w:cstheme="minorBidi"/>
          <w:sz w:val="24"/>
          <w:szCs w:val="24"/>
        </w:rPr>
        <w:t xml:space="preserve"> 78/2010.  In base alle considerazioni esposte, si ritiene di dover far leva sul ricorso a unioni di comuni e a convenzioni, oltre che ad accordi, come previsto dal d.lgs. 97/2016, per stabilire modalità operative semplificate, sia per la predisposizione del PTPC sia per la nomina del RPCT.  Si precisa che l’applicabilità delle indicazioni del presente paragrafo prescinde dal numero complessivo di abitanti dei comuni che fanno parte dell’unione o della convenzione. Il ricordato </w:t>
      </w:r>
      <w:proofErr w:type="spellStart"/>
      <w:r w:rsidRPr="00D43D2E">
        <w:rPr>
          <w:rFonts w:ascii="Berlin Sans FB" w:eastAsiaTheme="minorHAnsi" w:hAnsi="Berlin Sans FB" w:cstheme="minorBidi"/>
          <w:sz w:val="24"/>
          <w:szCs w:val="24"/>
        </w:rPr>
        <w:t>favor</w:t>
      </w:r>
      <w:proofErr w:type="spellEnd"/>
      <w:r w:rsidRPr="00D43D2E">
        <w:rPr>
          <w:rFonts w:ascii="Berlin Sans FB" w:eastAsiaTheme="minorHAnsi" w:hAnsi="Berlin Sans FB" w:cstheme="minorBidi"/>
          <w:sz w:val="24"/>
          <w:szCs w:val="24"/>
        </w:rPr>
        <w:t xml:space="preserve"> del legislatore verso le forme di esercizio associato delle funzioni fondamentali comporta che le semplificazioni qui proposte riguardino forme associative tra piccoli comuni, ma anche forme associative tra piccoli comuni e comuni medio-grandi, con le quali si raggiungono dimensioni organizzative dell’amministrazione comunale più adeguate, tanto in termini di funzionalità generale quanto in termini di prevenzione della corruzione.  </w:t>
      </w:r>
    </w:p>
    <w:p w:rsidR="00D43D2E" w:rsidRPr="00D43D2E" w:rsidRDefault="00D43D2E" w:rsidP="00D43D2E">
      <w:pPr>
        <w:spacing w:after="160" w:line="259" w:lineRule="auto"/>
        <w:jc w:val="both"/>
        <w:rPr>
          <w:rFonts w:ascii="Berlin Sans FB" w:eastAsiaTheme="minorHAnsi" w:hAnsi="Berlin Sans FB" w:cstheme="minorBidi"/>
          <w:sz w:val="24"/>
          <w:szCs w:val="24"/>
        </w:rPr>
      </w:pPr>
      <w:r w:rsidRPr="00D43D2E">
        <w:rPr>
          <w:rFonts w:ascii="Berlin Sans FB" w:eastAsiaTheme="minorHAnsi" w:hAnsi="Berlin Sans FB" w:cstheme="minorBidi"/>
          <w:sz w:val="24"/>
          <w:szCs w:val="24"/>
        </w:rPr>
        <w:t xml:space="preserve"> </w:t>
      </w:r>
    </w:p>
    <w:p w:rsidR="00D43D2E" w:rsidRPr="00D43D2E" w:rsidRDefault="00D43D2E" w:rsidP="00D43D2E">
      <w:pPr>
        <w:spacing w:after="160" w:line="259" w:lineRule="auto"/>
        <w:jc w:val="both"/>
        <w:rPr>
          <w:rFonts w:ascii="Berlin Sans FB" w:eastAsiaTheme="minorHAnsi" w:hAnsi="Berlin Sans FB" w:cstheme="minorBidi"/>
          <w:sz w:val="24"/>
          <w:szCs w:val="24"/>
        </w:rPr>
      </w:pPr>
      <w:r w:rsidRPr="00D43D2E">
        <w:rPr>
          <w:rFonts w:ascii="Berlin Sans FB" w:eastAsiaTheme="minorHAnsi" w:hAnsi="Berlin Sans FB" w:cstheme="minorBidi"/>
          <w:sz w:val="24"/>
          <w:szCs w:val="24"/>
        </w:rPr>
        <w:t xml:space="preserve">3.1 Unioni di comuni Dall’esame condotto sui PTPC è emerso che le unioni di comuni istituite ai sensi dell’art. 32 del TUEL (enti locali con autonoma personalità giuridica di diritto pubblico rispetto ai comuni aggregati14), hanno già svolto un ruolo di coordinamento nell’azione di prevenzione della corruzione.  In alcuni casi le unioni, infatti, non solo hanno approvato un proprio PTPC con riferimento alle funzioni trasferite dai comuni aderenti e per le relative aree di rischio ma hanno, al contempo, coordinato la formazione finalizzata alla stesura dei PTPC dei singoli comuni, essendo questi ultimi, comunque, obbligati ad adottare un Piano con riferimento alle funzioni non trasferite. Il coordinamento nell’elaborazione dei PTPC ha consentito di semplificare l’attività dei singoli comuni coinvolti mediante la condivisione del processo di individuazione delle aree di rischio e dei criteri di valutazione dello stesso, ma soprattutto attraverso l’analisi del contesto esterno che ha considerato l’intero territorio dell'unione. Di seguito sono indicati gli adattamenti della disciplina in tema di prevenzione della corruzione sia con riferimento alla predisposizione, adozione e attuazione del PTPC, sia con riferimento alla nomina e alle funzioni del RPCT. Le indicazioni che seguono trovano </w:t>
      </w:r>
      <w:proofErr w:type="gramStart"/>
      <w:r w:rsidRPr="00D43D2E">
        <w:rPr>
          <w:rFonts w:ascii="Berlin Sans FB" w:eastAsiaTheme="minorHAnsi" w:hAnsi="Berlin Sans FB" w:cstheme="minorBidi"/>
          <w:sz w:val="24"/>
          <w:szCs w:val="24"/>
        </w:rPr>
        <w:t xml:space="preserve">applicazione: </w:t>
      </w:r>
      <w:r w:rsidRPr="00D43D2E">
        <w:rPr>
          <w:rFonts w:ascii="Berlin Sans FB" w:eastAsiaTheme="minorHAnsi" w:hAnsi="Berlin Sans FB" w:cstheme="minorBidi"/>
          <w:sz w:val="24"/>
          <w:szCs w:val="24"/>
        </w:rPr>
        <w:t> per</w:t>
      </w:r>
      <w:proofErr w:type="gramEnd"/>
      <w:r w:rsidRPr="00D43D2E">
        <w:rPr>
          <w:rFonts w:ascii="Berlin Sans FB" w:eastAsiaTheme="minorHAnsi" w:hAnsi="Berlin Sans FB" w:cstheme="minorBidi"/>
          <w:sz w:val="24"/>
          <w:szCs w:val="24"/>
        </w:rPr>
        <w:t xml:space="preserve"> le unioni istituite per l’esercizio obbligatorio delle funzioni fondamentali; </w:t>
      </w:r>
      <w:r w:rsidRPr="00D43D2E">
        <w:rPr>
          <w:rFonts w:ascii="Berlin Sans FB" w:eastAsiaTheme="minorHAnsi" w:hAnsi="Berlin Sans FB" w:cstheme="minorBidi"/>
          <w:sz w:val="24"/>
          <w:szCs w:val="24"/>
        </w:rPr>
        <w:t xml:space="preserve"> per le unioni istituite per l’esercizio associato facoltativo di specifiche funzioni.  </w:t>
      </w:r>
    </w:p>
    <w:p w:rsidR="00D43D2E" w:rsidRPr="00D43D2E" w:rsidRDefault="00D43D2E" w:rsidP="00D43D2E">
      <w:pPr>
        <w:spacing w:after="160" w:line="259" w:lineRule="auto"/>
        <w:jc w:val="both"/>
        <w:rPr>
          <w:rFonts w:ascii="Berlin Sans FB" w:eastAsiaTheme="minorHAnsi" w:hAnsi="Berlin Sans FB" w:cstheme="minorBidi"/>
          <w:sz w:val="24"/>
          <w:szCs w:val="24"/>
        </w:rPr>
      </w:pPr>
      <w:r w:rsidRPr="00D43D2E">
        <w:rPr>
          <w:rFonts w:ascii="Berlin Sans FB" w:eastAsiaTheme="minorHAnsi" w:hAnsi="Berlin Sans FB" w:cstheme="minorBidi"/>
          <w:sz w:val="24"/>
          <w:szCs w:val="24"/>
        </w:rPr>
        <w:t xml:space="preserve"> </w:t>
      </w:r>
    </w:p>
    <w:p w:rsidR="00D43D2E" w:rsidRPr="00D43D2E" w:rsidRDefault="00D43D2E" w:rsidP="00D43D2E">
      <w:pPr>
        <w:spacing w:after="160" w:line="259" w:lineRule="auto"/>
        <w:jc w:val="both"/>
        <w:rPr>
          <w:rFonts w:ascii="Berlin Sans FB" w:eastAsiaTheme="minorHAnsi" w:hAnsi="Berlin Sans FB" w:cstheme="minorBidi"/>
          <w:sz w:val="24"/>
          <w:szCs w:val="24"/>
        </w:rPr>
      </w:pPr>
      <w:r w:rsidRPr="00D43D2E">
        <w:rPr>
          <w:rFonts w:ascii="Berlin Sans FB" w:eastAsiaTheme="minorHAnsi" w:hAnsi="Berlin Sans FB" w:cstheme="minorBidi"/>
          <w:sz w:val="24"/>
          <w:szCs w:val="24"/>
        </w:rPr>
        <w:t xml:space="preserve">3.1.1 Il Piano triennale di prevenzione della corruzione In caso di unione di comuni, si può prevedere la predisposizione di un unico PTPC distinguendo, in applicazione del criterio dell’esercizio della funzione, a seconda se ci si riferisca </w:t>
      </w:r>
      <w:proofErr w:type="gramStart"/>
      <w:r w:rsidRPr="00D43D2E">
        <w:rPr>
          <w:rFonts w:ascii="Berlin Sans FB" w:eastAsiaTheme="minorHAnsi" w:hAnsi="Berlin Sans FB" w:cstheme="minorBidi"/>
          <w:sz w:val="24"/>
          <w:szCs w:val="24"/>
        </w:rPr>
        <w:t xml:space="preserve">a: </w:t>
      </w:r>
      <w:r w:rsidRPr="00D43D2E">
        <w:rPr>
          <w:rFonts w:ascii="Berlin Sans FB" w:eastAsiaTheme="minorHAnsi" w:hAnsi="Berlin Sans FB" w:cstheme="minorBidi"/>
          <w:sz w:val="24"/>
          <w:szCs w:val="24"/>
        </w:rPr>
        <w:t> funzioni</w:t>
      </w:r>
      <w:proofErr w:type="gramEnd"/>
      <w:r w:rsidRPr="00D43D2E">
        <w:rPr>
          <w:rFonts w:ascii="Berlin Sans FB" w:eastAsiaTheme="minorHAnsi" w:hAnsi="Berlin Sans FB" w:cstheme="minorBidi"/>
          <w:sz w:val="24"/>
          <w:szCs w:val="24"/>
        </w:rPr>
        <w:t xml:space="preserve"> svolte direttamente dall’unione; </w:t>
      </w:r>
      <w:r w:rsidRPr="00D43D2E">
        <w:rPr>
          <w:rFonts w:ascii="Berlin Sans FB" w:eastAsiaTheme="minorHAnsi" w:hAnsi="Berlin Sans FB" w:cstheme="minorBidi"/>
          <w:sz w:val="24"/>
          <w:szCs w:val="24"/>
        </w:rPr>
        <w:t xml:space="preserve"> funzioni rimaste in capo ai singoli comuni. Rientrano tra le competenze dell’unione la predisposizione, l’adozione e l’attuazione del PTPC e delle misure organizzative in esso contenute, relativamente alle funzioni trasferite all’unione. Ciò in coerenza con il principio </w:t>
      </w:r>
      <w:r w:rsidRPr="00D43D2E">
        <w:rPr>
          <w:rFonts w:ascii="Berlin Sans FB" w:eastAsiaTheme="minorHAnsi" w:hAnsi="Berlin Sans FB" w:cstheme="minorBidi"/>
          <w:sz w:val="24"/>
          <w:szCs w:val="24"/>
        </w:rPr>
        <w:lastRenderedPageBreak/>
        <w:t xml:space="preserve">secondo cui spetta all’ente che svolge direttamente le funzioni la mappatura dei processi, l’individuazione delle aree di rischio e la programmazione delle misure di prevenzione a esse riferite. Con riferimento alle altre funzioni, che restano in capo ai singoli comuni in quanto non svolte in forma associata: </w:t>
      </w:r>
      <w:r w:rsidRPr="00D43D2E">
        <w:rPr>
          <w:rFonts w:ascii="Berlin Sans FB" w:eastAsiaTheme="minorHAnsi" w:hAnsi="Berlin Sans FB" w:cstheme="minorBidi"/>
          <w:sz w:val="24"/>
          <w:szCs w:val="24"/>
        </w:rPr>
        <w:t xml:space="preserve"> qualora lo statuto dell’unione preveda l’associazione della funzione di prevenzione della corruzione, da sola o a seguito dell’associazione della funzione fondamentale di «organizzazione generale dell'amministrazione, gestione finanziaria e contabile e controllo», a seguito di un idoneo coordinamento, l’unico PTPC dell’unione può contenere anche le misure relative alle funzioni non associate, svolte autonomamente dai singoli comuni. Qualora si opti per questa modalità operativa semplificata, resta ferma la responsabilità diretta per l’attuazione delle misure di prevenzione in capo ai singoli comuni e, in particolare, ai soggetti incaricati </w:t>
      </w:r>
      <w:proofErr w:type="gramStart"/>
      <w:r w:rsidRPr="00D43D2E">
        <w:rPr>
          <w:rFonts w:ascii="Berlin Sans FB" w:eastAsiaTheme="minorHAnsi" w:hAnsi="Berlin Sans FB" w:cstheme="minorBidi"/>
          <w:sz w:val="24"/>
          <w:szCs w:val="24"/>
        </w:rPr>
        <w:t xml:space="preserve">dell’attuazione; </w:t>
      </w:r>
      <w:r w:rsidRPr="00D43D2E">
        <w:rPr>
          <w:rFonts w:ascii="Berlin Sans FB" w:eastAsiaTheme="minorHAnsi" w:hAnsi="Berlin Sans FB" w:cstheme="minorBidi"/>
          <w:sz w:val="24"/>
          <w:szCs w:val="24"/>
        </w:rPr>
        <w:t> in</w:t>
      </w:r>
      <w:proofErr w:type="gramEnd"/>
      <w:r w:rsidRPr="00D43D2E">
        <w:rPr>
          <w:rFonts w:ascii="Berlin Sans FB" w:eastAsiaTheme="minorHAnsi" w:hAnsi="Berlin Sans FB" w:cstheme="minorBidi"/>
          <w:sz w:val="24"/>
          <w:szCs w:val="24"/>
        </w:rPr>
        <w:t xml:space="preserve"> alternativa, ciascun ente può continuare a predisporre il proprio PTPC, mutuando o rinviando al PTPC dell’unione per quelle parti del PTPC comuni all’unione, con particolare riferimento all’analisi del contesto esterno. </w:t>
      </w:r>
    </w:p>
    <w:p w:rsidR="00D43D2E" w:rsidRPr="00D43D2E" w:rsidRDefault="00D43D2E" w:rsidP="00D43D2E">
      <w:pPr>
        <w:spacing w:after="160" w:line="259" w:lineRule="auto"/>
        <w:jc w:val="both"/>
        <w:rPr>
          <w:rFonts w:ascii="Berlin Sans FB" w:eastAsiaTheme="minorHAnsi" w:hAnsi="Berlin Sans FB" w:cstheme="minorBidi"/>
          <w:sz w:val="24"/>
          <w:szCs w:val="24"/>
        </w:rPr>
      </w:pPr>
      <w:r w:rsidRPr="00D43D2E">
        <w:rPr>
          <w:rFonts w:ascii="Berlin Sans FB" w:eastAsiaTheme="minorHAnsi" w:hAnsi="Berlin Sans FB" w:cstheme="minorBidi"/>
          <w:sz w:val="24"/>
          <w:szCs w:val="24"/>
        </w:rPr>
        <w:t xml:space="preserve">                                                     </w:t>
      </w:r>
    </w:p>
    <w:p w:rsidR="00D43D2E" w:rsidRPr="00D43D2E" w:rsidRDefault="00D43D2E" w:rsidP="00D43D2E">
      <w:pPr>
        <w:spacing w:after="160" w:line="259" w:lineRule="auto"/>
        <w:jc w:val="both"/>
        <w:rPr>
          <w:rFonts w:ascii="Berlin Sans FB" w:eastAsiaTheme="minorHAnsi" w:hAnsi="Berlin Sans FB" w:cstheme="minorBidi"/>
          <w:sz w:val="24"/>
          <w:szCs w:val="24"/>
        </w:rPr>
      </w:pPr>
      <w:r w:rsidRPr="00D43D2E">
        <w:rPr>
          <w:rFonts w:ascii="Berlin Sans FB" w:eastAsiaTheme="minorHAnsi" w:hAnsi="Berlin Sans FB" w:cstheme="minorBidi"/>
          <w:sz w:val="24"/>
          <w:szCs w:val="24"/>
        </w:rPr>
        <w:t xml:space="preserve"> 14 Con la sentenza 26 marzo 2015 n. 50, la Corte costituzionale ha affermato che le unioni di comuni, «risolvendosi in forme istituzionali di associazione tra Comuni per l'esercizio congiunto di funzioni o servizi di loro competenza» non costituiscono, al di là dell'impropria definizione sub co. 4 dell'art. 1, un ente territoriale ulteriore e diverso rispetto all'ente Comune; le stesse, pertanto, rientrano, nell'area di competenza statale sub art. 117, co. 2, </w:t>
      </w:r>
      <w:proofErr w:type="spellStart"/>
      <w:r w:rsidRPr="00D43D2E">
        <w:rPr>
          <w:rFonts w:ascii="Berlin Sans FB" w:eastAsiaTheme="minorHAnsi" w:hAnsi="Berlin Sans FB" w:cstheme="minorBidi"/>
          <w:sz w:val="24"/>
          <w:szCs w:val="24"/>
        </w:rPr>
        <w:t>lett</w:t>
      </w:r>
      <w:proofErr w:type="spellEnd"/>
      <w:r w:rsidRPr="00D43D2E">
        <w:rPr>
          <w:rFonts w:ascii="Berlin Sans FB" w:eastAsiaTheme="minorHAnsi" w:hAnsi="Berlin Sans FB" w:cstheme="minorBidi"/>
          <w:sz w:val="24"/>
          <w:szCs w:val="24"/>
        </w:rPr>
        <w:t xml:space="preserve">. p) della Costituzione, e non sono, di conseguenza, attratte nell'ambito di competenza residuale di cui al co. 4 dello stesso art. 117.  </w:t>
      </w:r>
    </w:p>
    <w:p w:rsidR="00D43D2E" w:rsidRPr="00D43D2E" w:rsidRDefault="00D43D2E" w:rsidP="00D43D2E">
      <w:pPr>
        <w:spacing w:after="160" w:line="259" w:lineRule="auto"/>
        <w:jc w:val="both"/>
        <w:rPr>
          <w:rFonts w:ascii="Berlin Sans FB" w:eastAsiaTheme="minorHAnsi" w:hAnsi="Berlin Sans FB" w:cstheme="minorBidi"/>
          <w:sz w:val="24"/>
          <w:szCs w:val="24"/>
        </w:rPr>
      </w:pPr>
    </w:p>
    <w:p w:rsidR="00D43D2E" w:rsidRPr="00D43D2E" w:rsidRDefault="00D43D2E" w:rsidP="00D43D2E">
      <w:pPr>
        <w:spacing w:after="160" w:line="259" w:lineRule="auto"/>
        <w:jc w:val="both"/>
        <w:rPr>
          <w:rFonts w:ascii="Berlin Sans FB" w:eastAsiaTheme="minorHAnsi" w:hAnsi="Berlin Sans FB" w:cstheme="minorBidi"/>
          <w:sz w:val="24"/>
          <w:szCs w:val="24"/>
        </w:rPr>
      </w:pPr>
      <w:r w:rsidRPr="00D43D2E">
        <w:rPr>
          <w:rFonts w:ascii="Berlin Sans FB" w:eastAsiaTheme="minorHAnsi" w:hAnsi="Berlin Sans FB" w:cstheme="minorBidi"/>
          <w:sz w:val="24"/>
          <w:szCs w:val="24"/>
        </w:rPr>
        <w:t xml:space="preserve">3.1.2 Responsabile della prevenzione della corruzione La legge 7 aprile 2014, n. 56 «Disposizioni sulle città metropolitane, sulle province, sulle unioni e fusioni di comuni», all’art. 1, co. 110, prevede che alcune attività possano essere svolte dalle unioni di comuni in forma associata anche per i comuni che le costituiscono, con particolare riferimento alle funzioni di responsabile anticorruzione, svolte da un funzionario nominato dal presidente dell'unione tra i funzionari dell'unione e dei comuni che la compongono. Nella stessa direzione si muove la l. 190/2012, art. 1, co. 7, come sostituito dal d.lgs. 97/2016, che prevede che nelle unioni di comuni può essere nominato un unico responsabile della prevenzione della corruzione e della trasparenza.  Le funzioni di RPCT dell’unione sono pertanto attribuite dal Presidente della Giunta al segretario comunale dell’unione o di uno dei comuni aderenti o a un dirigente apicale, salvo espresse e motivate eccezioni, in coerenza con quanto previsto all’art.1, co. 7, della l. 190/2012, come modificato dal d.lgs. 97/2016. In alternativa, laddove ricorrano valide ragioni, da indicare analiticamente nel provvedimento di nomina, l’incarico può essere assegnato ad altro funzionario dell’unione o dei comuni aderenti, identificato con figure dirigenziali, o titolari di posizione organizzativa. In ogni caso non può trattarsi di un soggetto esterno all’amministrazione, cioè esterno a uno dei comuni facenti parte dell’unione15.  </w:t>
      </w:r>
      <w:r w:rsidRPr="00D43D2E">
        <w:rPr>
          <w:rFonts w:ascii="Berlin Sans FB" w:eastAsiaTheme="minorHAnsi" w:hAnsi="Berlin Sans FB" w:cstheme="minorBidi"/>
          <w:sz w:val="24"/>
          <w:szCs w:val="24"/>
        </w:rPr>
        <w:t xml:space="preserve"> Qualora i comuni abbiano associato anche la funzione di prevenzione della corruzione, attribuendo all’unione la competenza a redigere un unico PTPC anche per le funzioni non trasferite, il RPCT dell’unione svolge le proprie funzioni anche per i comuni associati. In questo caso, tuttavia, data la difficoltà di assicurare un capillare controllo anche all’interno di questi ultimi, per le funzioni </w:t>
      </w:r>
      <w:r w:rsidRPr="00D43D2E">
        <w:rPr>
          <w:rFonts w:ascii="Berlin Sans FB" w:eastAsiaTheme="minorHAnsi" w:hAnsi="Berlin Sans FB" w:cstheme="minorBidi"/>
          <w:sz w:val="24"/>
          <w:szCs w:val="24"/>
        </w:rPr>
        <w:lastRenderedPageBreak/>
        <w:t xml:space="preserve">non trasferite all’unione occorre che ciascun comune nomini al proprio interno un referente chiamato a verificare, dandone conto al RPCT, l’effettiva attuazione delle misure nel proprio ente, a proporre l’adozione di possibili ulteriori o diverse misure, ad assicurare un costante flusso informativo nei confronti del RPCT. Come già precisato (Aggiornamento 2015 al PNA, parte generale, § 4.2) i referenti svolgono attività informativa nei confronti del RPCT affinché questi abbia elementi e riscontri sia per la formazione e il monitoraggio del PTPC sia sull’attuazione delle misure. In questa prospettiva, al fine di rafforzare le possibilità di intervento del RPCT e garantire autonomia ed effettività dell’incarico mediante espressa previsione statutaria, è necessario attribuire al RPCT </w:t>
      </w:r>
      <w:proofErr w:type="gramStart"/>
      <w:r w:rsidRPr="00D43D2E">
        <w:rPr>
          <w:rFonts w:ascii="Berlin Sans FB" w:eastAsiaTheme="minorHAnsi" w:hAnsi="Berlin Sans FB" w:cstheme="minorBidi"/>
          <w:sz w:val="24"/>
          <w:szCs w:val="24"/>
        </w:rPr>
        <w:t>dell’unione:  -</w:t>
      </w:r>
      <w:proofErr w:type="gramEnd"/>
      <w:r w:rsidRPr="00D43D2E">
        <w:rPr>
          <w:rFonts w:ascii="Berlin Sans FB" w:eastAsiaTheme="minorHAnsi" w:hAnsi="Berlin Sans FB" w:cstheme="minorBidi"/>
          <w:sz w:val="24"/>
          <w:szCs w:val="24"/>
        </w:rPr>
        <w:t xml:space="preserve"> responsabilità di proporre e sovrintendere all’attuazione del PTPC unico; - poteri di coordinamento anche all’interno dei comuni, avvalendosi dei referenti nominati e dei soggetti che svolgono funzioni dirigenziali. I poteri di coordinamento è necessario contemplino, tra l’altro, la possibilità di organizzare al meglio i flussi informativi tra gli uffici degli enti aderenti, referenti e RPCT; - poteri di vigilanza sull’attuazione delle misure di prevenzione. I poteri di vigilanza comprendono, tra l’altro, la possibilità di approntare sistemi di verifica e controllo dell’efficace attuazione delle misure con la necessaria collaborazione dei soggetti che svolgono funzioni dirigenziali e in generale dei dipendenti dei comuni aderenti all’unione; - adeguati poteri di interlocuzione con i referenti, con gli altri funzionari e con gli organi di controllo dei comuni coinvolti e conseguente previsione di doveri professionali dei dirigenti e dei referenti di rispondere al RPCT.  In questa ottica è opportuno sottolineare il ruolo di coordinamento generale del RPCT a fronte di precise responsabilità di attuazione delle misure che spettano ai soggetti che, in ciascun comune, svolgono ruoli di responsabilità tecnico amministrativa (dirigenti, titolari di posizione organizzativa, funzionari). </w:t>
      </w:r>
      <w:r w:rsidRPr="00D43D2E">
        <w:rPr>
          <w:rFonts w:ascii="Berlin Sans FB" w:eastAsiaTheme="minorHAnsi" w:hAnsi="Berlin Sans FB" w:cstheme="minorBidi"/>
          <w:sz w:val="24"/>
          <w:szCs w:val="24"/>
        </w:rPr>
        <w:t xml:space="preserve"> Qualora gli enti facenti parte dell’unione non abbiano associato anche la funzione di prevenzione della corruzione e continuino a redigere autonomi PTPC per le funzioni non                                                      trasferite, ciascuno di essi è tenuto a nominare il proprio RPCT. Questi svolge la funzione di referente del RPCT dell’unione per le funzioni ad essa attribuite garantendo, in particolare, la regolare corrispondenza dei flussi informativi.  Sia che i comuni abbiano deciso di avvalersi della facoltà di redigere un solo PTPC, associando la funzione di prevenzione della corruzione (da sola o tramite l’associazione dell’«organizzazione generale dell'amministrazione, gestione finanziaria e contabile e controllo») sia che adottino Piani separati per le funzioni non trasferite, può essere, comunque, opportuno attribuire al RPCT dell’unione un ruolo di coordinamento nei riguardi di tutti gli enti e soggetti coinvolti nell’azione di prevenzione della corruzione che può riguardare, in particolare: </w:t>
      </w:r>
      <w:r w:rsidRPr="00D43D2E">
        <w:rPr>
          <w:rFonts w:ascii="Berlin Sans FB" w:eastAsiaTheme="minorHAnsi" w:hAnsi="Berlin Sans FB" w:cstheme="minorBidi"/>
          <w:sz w:val="24"/>
          <w:szCs w:val="24"/>
        </w:rPr>
        <w:t xml:space="preserve"> la formazione del personale di tutti i comuni dell’unione;  </w:t>
      </w:r>
      <w:r w:rsidRPr="00D43D2E">
        <w:rPr>
          <w:rFonts w:ascii="Berlin Sans FB" w:eastAsiaTheme="minorHAnsi" w:hAnsi="Berlin Sans FB" w:cstheme="minorBidi"/>
          <w:sz w:val="24"/>
          <w:szCs w:val="24"/>
        </w:rPr>
        <w:t xml:space="preserve"> l’analisi del contesto esterno per la predisposizione dei PTPC. Essa potrà svilupparsi in modo unitario considerando come riferimento l’intero territorio dell'unione ed essere svolta anche con il supporto tecnico e informativo della Prefettura competente, oltre che della provincia, in quanto ente territoriale di area vasta che esercita funzioni di assistenza tecnico-amministrativa agli enti locali, ai sensi dell’art.1, commi 85, </w:t>
      </w:r>
      <w:proofErr w:type="spellStart"/>
      <w:r w:rsidRPr="00D43D2E">
        <w:rPr>
          <w:rFonts w:ascii="Berlin Sans FB" w:eastAsiaTheme="minorHAnsi" w:hAnsi="Berlin Sans FB" w:cstheme="minorBidi"/>
          <w:sz w:val="24"/>
          <w:szCs w:val="24"/>
        </w:rPr>
        <w:t>lett</w:t>
      </w:r>
      <w:proofErr w:type="spellEnd"/>
      <w:r w:rsidRPr="00D43D2E">
        <w:rPr>
          <w:rFonts w:ascii="Berlin Sans FB" w:eastAsiaTheme="minorHAnsi" w:hAnsi="Berlin Sans FB" w:cstheme="minorBidi"/>
          <w:sz w:val="24"/>
          <w:szCs w:val="24"/>
        </w:rPr>
        <w:t xml:space="preserve">. d), e 88, l. 56/2014. Nel caso di comuni ricadenti in città metropolitane, tali enti potranno fornire il necessario ausilio con riguardo alla costituzione di “zone omogenee” previste dalla l. 56/2014, art. 1, co. 11, </w:t>
      </w:r>
      <w:proofErr w:type="spellStart"/>
      <w:r w:rsidRPr="00D43D2E">
        <w:rPr>
          <w:rFonts w:ascii="Berlin Sans FB" w:eastAsiaTheme="minorHAnsi" w:hAnsi="Berlin Sans FB" w:cstheme="minorBidi"/>
          <w:sz w:val="24"/>
          <w:szCs w:val="24"/>
        </w:rPr>
        <w:t>lett</w:t>
      </w:r>
      <w:proofErr w:type="spellEnd"/>
      <w:r w:rsidRPr="00D43D2E">
        <w:rPr>
          <w:rFonts w:ascii="Berlin Sans FB" w:eastAsiaTheme="minorHAnsi" w:hAnsi="Berlin Sans FB" w:cstheme="minorBidi"/>
          <w:sz w:val="24"/>
          <w:szCs w:val="24"/>
        </w:rPr>
        <w:t xml:space="preserve">. c). In merito si rinvia all’approfondimento II sulle città metropolitane, § 2.3. </w:t>
      </w:r>
    </w:p>
    <w:p w:rsidR="00D43D2E" w:rsidRPr="00D43D2E" w:rsidRDefault="00D43D2E" w:rsidP="00D43D2E">
      <w:pPr>
        <w:spacing w:after="160" w:line="259" w:lineRule="auto"/>
        <w:jc w:val="both"/>
        <w:rPr>
          <w:rFonts w:ascii="Berlin Sans FB" w:eastAsiaTheme="minorHAnsi" w:hAnsi="Berlin Sans FB" w:cstheme="minorBidi"/>
          <w:sz w:val="24"/>
          <w:szCs w:val="24"/>
        </w:rPr>
      </w:pPr>
      <w:r w:rsidRPr="00D43D2E">
        <w:rPr>
          <w:rFonts w:ascii="Berlin Sans FB" w:eastAsiaTheme="minorHAnsi" w:hAnsi="Berlin Sans FB" w:cstheme="minorBidi"/>
          <w:sz w:val="24"/>
          <w:szCs w:val="24"/>
        </w:rPr>
        <w:t xml:space="preserve"> </w:t>
      </w:r>
    </w:p>
    <w:p w:rsidR="00D43D2E" w:rsidRPr="00D43D2E" w:rsidRDefault="00D43D2E" w:rsidP="00D43D2E">
      <w:pPr>
        <w:spacing w:after="160" w:line="259" w:lineRule="auto"/>
        <w:jc w:val="both"/>
        <w:rPr>
          <w:rFonts w:ascii="Berlin Sans FB" w:eastAsiaTheme="minorHAnsi" w:hAnsi="Berlin Sans FB" w:cstheme="minorBidi"/>
          <w:sz w:val="24"/>
          <w:szCs w:val="24"/>
        </w:rPr>
      </w:pPr>
      <w:r w:rsidRPr="00D43D2E">
        <w:rPr>
          <w:rFonts w:ascii="Berlin Sans FB" w:eastAsiaTheme="minorHAnsi" w:hAnsi="Berlin Sans FB" w:cstheme="minorBidi"/>
          <w:sz w:val="24"/>
          <w:szCs w:val="24"/>
        </w:rPr>
        <w:lastRenderedPageBreak/>
        <w:t xml:space="preserve">3.2 Convenzioni di Comuni La convenzione ai sensi dell’art. 30 del TUEL – l’altra modalità operativa indicata dalla disciplina sulle gestione aggregate obbligatorie – è attualmente la forma associativa più diffusa tra i comuni, trattandosi di quella certamente più flessibile, anche se l’ordinamento sembra manifestare un minor favore verso questo modello rispetto a quello dell’unione. Anche per le convenzioni sono di seguito individuati alcuni possibili adattamenti della disciplina in tema di prevenzione della corruzione, con particolare riferimento al PTPC e al ruolo del RPCT. 3.2.1 Piano triennale di prevenzione della corruzione Per i PTPC dei comuni che abbiano stipulato una convenzione ai sensi dell’art. 30 del TUEL occorre distinguere le funzioni associate dalle funzioni che i comuni convenzionati continuano a svolgere autonomamente. Con riferimento alle funzioni associate, è il comune capofila (o l’ufficio appositamente istituito) a dover elaborare la parte di Piano concernente tali funzioni, programmando, nel proprio PTPC, le misure di prevenzione, le modalità di attuazione, i tempi e i soggetti responsabili. Per assicurare il necessario coordinamento con gli altri comuni, occorre che questi ultimi, all’interno dei propri PTPC, recepiscano la mappatura dei processi relativi a dette funzioni. Con riferimento alle funzioni non associate, ciascun comune che aderisce alla convenzione deve redigere il proprio PTPC.  A differenza di quanto previsto per le unioni, non si ritiene ammissibile per le convenzioni la possibilità di redigere un solo PTPC, anche quando i comuni abbiano associato la funzione di prevenzione della corruzione o quando alla convenzione sia demandata la funzione fondamentale di «organizzazione generale dell'amministrazione, gestione finanziaria e contabile e controllo». A differenza dell’unione, infatti, la convenzione non dà vita a un nuovo ente locale, dotato di una propria organizzazione e di propri organi e rappresenta una forma meno stabile di cooperazione. In ogni caso, sia per le funzioni associate sia per tutte le altre è opportuno assicurare un necessario coordinamento delle attività legate alla gestione del rischio di corruzione. Il coordinamento fra i comuni convenzionati - come per le unioni - può riguardare: </w:t>
      </w:r>
    </w:p>
    <w:p w:rsidR="00D43D2E" w:rsidRPr="00D43D2E" w:rsidRDefault="00D43D2E" w:rsidP="00D43D2E">
      <w:pPr>
        <w:spacing w:after="160" w:line="259" w:lineRule="auto"/>
        <w:jc w:val="both"/>
        <w:rPr>
          <w:rFonts w:ascii="Berlin Sans FB" w:eastAsiaTheme="minorHAnsi" w:hAnsi="Berlin Sans FB" w:cstheme="minorBidi"/>
          <w:sz w:val="24"/>
          <w:szCs w:val="24"/>
        </w:rPr>
      </w:pPr>
      <w:r w:rsidRPr="00D43D2E">
        <w:rPr>
          <w:rFonts w:ascii="Berlin Sans FB" w:eastAsiaTheme="minorHAnsi" w:hAnsi="Berlin Sans FB" w:cstheme="minorBidi"/>
          <w:sz w:val="24"/>
          <w:szCs w:val="24"/>
        </w:rPr>
        <w:t xml:space="preserve"> </w:t>
      </w:r>
      <w:proofErr w:type="gramStart"/>
      <w:r w:rsidRPr="00D43D2E">
        <w:rPr>
          <w:rFonts w:ascii="Berlin Sans FB" w:eastAsiaTheme="minorHAnsi" w:hAnsi="Berlin Sans FB" w:cstheme="minorBidi"/>
          <w:sz w:val="24"/>
          <w:szCs w:val="24"/>
        </w:rPr>
        <w:t>iniziative</w:t>
      </w:r>
      <w:proofErr w:type="gramEnd"/>
      <w:r w:rsidRPr="00D43D2E">
        <w:rPr>
          <w:rFonts w:ascii="Berlin Sans FB" w:eastAsiaTheme="minorHAnsi" w:hAnsi="Berlin Sans FB" w:cstheme="minorBidi"/>
          <w:sz w:val="24"/>
          <w:szCs w:val="24"/>
        </w:rPr>
        <w:t xml:space="preserve"> per la formazione in materia di anticorruzione; </w:t>
      </w:r>
      <w:r w:rsidRPr="00D43D2E">
        <w:rPr>
          <w:rFonts w:ascii="Berlin Sans FB" w:eastAsiaTheme="minorHAnsi" w:hAnsi="Berlin Sans FB" w:cstheme="minorBidi"/>
          <w:sz w:val="24"/>
          <w:szCs w:val="24"/>
        </w:rPr>
        <w:t xml:space="preserve"> elaborazione di documenti condivisi per la predisposizione dei rispettivi PTPC, in particolare per l’analisi del contesto esterno e per le misure di prevenzione relative alle funzioni aggregate. La previsione di queste forme di coordinamento nonché l’attribuzione al RPCT del comune capofila dei necessari poteri di organizzazione e gestione delle conseguenti iniziative e dei flussi informativi sono disciplinate nelle convenzioni con le quali si delibera l’associazione delle funzioni. Ulteriore ipotesi configurabile per i comuni con popolazione inferiore ai 15.000 abitanti è quella della stipula di una convenzione ex art. 30 del TUEL o di un accordo ai sensi dell’art. 15 della legge 7 agosto 1990, n. 241 (art. 1, co. 6, l. 190/2012, come modificato dal d.lgs. 97/2016), unicamente allo scopo di definire in comune i PTPC di ogni singolo ente.  Il coordinamento nella definizione in comune del PTPC consente di semplificare l’attività dei singoli comuni coinvolti, attraverso la condivisione delle attività di formazione, dell’analisi del contesto esterno, del processo di individuazione delle aree di rischio e dei criteri di valutazione delle stesse. Resta fermo che ciascun comune che aderisce alla convenzione o all’accordo, sulla base dei documenti e delle attività condivise, adotta il proprio PTPC e nomina il proprio RPCT. 3.2.2. Responsabile della prevenzione della corruzione In virtù delle considerazioni sopra espresse, i comuni aderenti alla convenzione nominano ciascuno un proprio RPCT anche qualora, tramite la convenzione, decidano di aggregare la funzione di prevenzione della corruzione, o quella di «organizzazione generale dell'amministrazione, gestione finanziaria e contabile e controllo». I compiti di coordinamento possono essere svolti nelle forme ritenute più adeguate, in base all’assetto prescelto per la </w:t>
      </w:r>
      <w:r w:rsidRPr="00D43D2E">
        <w:rPr>
          <w:rFonts w:ascii="Berlin Sans FB" w:eastAsiaTheme="minorHAnsi" w:hAnsi="Berlin Sans FB" w:cstheme="minorBidi"/>
          <w:sz w:val="24"/>
          <w:szCs w:val="24"/>
        </w:rPr>
        <w:lastRenderedPageBreak/>
        <w:t xml:space="preserve">gestione associata delle funzioni prevedendo, mediante espressa disciplina della convenzione: </w:t>
      </w:r>
      <w:r w:rsidRPr="00D43D2E">
        <w:rPr>
          <w:rFonts w:ascii="Berlin Sans FB" w:eastAsiaTheme="minorHAnsi" w:hAnsi="Berlin Sans FB" w:cstheme="minorBidi"/>
          <w:sz w:val="24"/>
          <w:szCs w:val="24"/>
        </w:rPr>
        <w:t xml:space="preserve"> ove sia stato indicato un comune capofila, che il RPCT di questo ente possa espletare le funzioni di coordinamento; </w:t>
      </w:r>
      <w:r w:rsidRPr="00D43D2E">
        <w:rPr>
          <w:rFonts w:ascii="Berlin Sans FB" w:eastAsiaTheme="minorHAnsi" w:hAnsi="Berlin Sans FB" w:cstheme="minorBidi"/>
          <w:sz w:val="24"/>
          <w:szCs w:val="24"/>
        </w:rPr>
        <w:t xml:space="preserve"> ove la convenzione preveda l’istituzione di un ufficio comune per l’esercizio delle funzioni aggregate, che uno dei RPCT - scelto tra quelli dei comuni convenzionati - svolga le descritte funzioni di coordinamento. Il coordinamento delle attività finalizzate alla predisposizione dei PTPC nell’ambito della convenzione può essere esteso anche alle funzioni che restano di competenza dei singoli comuni; ciò, al fine di garantire anche per queste parti dei rispettivi Piani l’applicazione di criteri omogenei per la mappatura dei procedimenti, l’individuazione delle aree di rischio e delle misure di prevenzione. Resta ferma sia la responsabilità diretta dei RPCT di ogni comune in ordine alla predisposizione del PTPC dell’ente locale, sia quella dei dirigenti per l’attuazione delle misure di prevenzione previste. </w:t>
      </w:r>
    </w:p>
    <w:p w:rsidR="00D43D2E" w:rsidRPr="00D43D2E" w:rsidRDefault="00D43D2E" w:rsidP="00D43D2E">
      <w:pPr>
        <w:spacing w:after="160" w:line="259" w:lineRule="auto"/>
        <w:jc w:val="both"/>
        <w:rPr>
          <w:rFonts w:ascii="Berlin Sans FB" w:eastAsiaTheme="minorHAnsi" w:hAnsi="Berlin Sans FB" w:cstheme="minorBidi"/>
          <w:sz w:val="24"/>
          <w:szCs w:val="24"/>
        </w:rPr>
      </w:pPr>
      <w:r w:rsidRPr="00D43D2E">
        <w:rPr>
          <w:rFonts w:ascii="Berlin Sans FB" w:eastAsiaTheme="minorHAnsi" w:hAnsi="Berlin Sans FB" w:cstheme="minorBidi"/>
          <w:sz w:val="24"/>
          <w:szCs w:val="24"/>
        </w:rPr>
        <w:t xml:space="preserve"> </w:t>
      </w:r>
    </w:p>
    <w:p w:rsidR="00D43D2E" w:rsidRPr="00D43D2E" w:rsidRDefault="00D43D2E" w:rsidP="00D43D2E">
      <w:pPr>
        <w:spacing w:after="160" w:line="259" w:lineRule="auto"/>
        <w:jc w:val="both"/>
        <w:rPr>
          <w:rFonts w:ascii="Berlin Sans FB" w:eastAsiaTheme="minorHAnsi" w:hAnsi="Berlin Sans FB" w:cstheme="minorBidi"/>
          <w:sz w:val="24"/>
          <w:szCs w:val="24"/>
        </w:rPr>
      </w:pPr>
      <w:r w:rsidRPr="00D43D2E">
        <w:rPr>
          <w:rFonts w:ascii="Berlin Sans FB" w:eastAsiaTheme="minorHAnsi" w:hAnsi="Berlin Sans FB" w:cstheme="minorBidi"/>
          <w:sz w:val="24"/>
          <w:szCs w:val="24"/>
        </w:rPr>
        <w:t xml:space="preserve">4. Altre semplificazioni per i piccoli comuni L’ANAC si riserva di elaborare indicazioni volte ad agevolare il processo di gestione del rischio di corruzione nei piccoli comuni in cui la scarsità di risorse non consente di implementare, in tempi brevi, un adeguato processo valutativo.  In ogni caso, per i dati relativi al contesto esterno e una prima analisi degli stessi, i piccoli comuni possono avvalersi del supporto tecnico e informativo delle Prefetture. Resta ferma la responsabilità di ogni ente di contestualizzare l’analisi anche rispetto a dati in proprio possesso. Come anche indicato nell’approfondimento II dedicato alle città metropolitane, cui si rinvia, le “zone omogenee” delle città metropolitane possono rappresentare un utile riferimento per i comuni del territorio ai fini dell’analisi del contesto esterno e della predisposizione del PTPC. Analogamente, le province possono fornire un supporto agli enti locali che ricadono nel relativo ambito territoriale, come precisato al § 3.1. Una specifica misura di semplificazione è stata introdotta dall’art. 6, co. 6, del decreto del Ministero dell’Interno del 25 settembre 2015 «Determinazione degli indicatori di anomalia al fine di agevolare l’individuazione delle operazioni sospette di riciclaggio e di finanziamento del terrorismo da parte degli uffici della pubblica amministrazione» secondo cui gli enti locali con popolazione inferiore ai 15.000 abitanti possono individuare un unico soggetto quale “gestore comune” delle segnalazioni di operazioni sospette. Nel rinviare alla parte generale § 5.2, si ricorda che gli enti possono decidere di attribuire tale incarico al RPCT che, in questo caso, può coincidere con il RPCT dell’unione di comuni o, comunque, in un RPCT dei comuni che abbiano deciso di stipulare una convenzione o un accordo ai sensi dell’art. 15 della l. 241/1990. Particolari modalità semplificate per l’attuazione degli obblighi di trasparenza da parte dei comuni con popolazione inferiore a 15.000 abitanti, previste nell’art. 3, co. 1-ter, del d.lgs. 33/2013, introdotto dal d.lgs. 97/2016, saranno oggetto di specifiche Linee guida dell’Autorità. Ai fini della semplificazione si rammenta, comunque, la possibilità di assolvere l’obbligo di pubblicazione anche mediante un link ad altro sito istituzionale ove i dati e le informazioni siano già pubblicati. </w:t>
      </w:r>
    </w:p>
    <w:p w:rsidR="00D43D2E" w:rsidRPr="00D43D2E" w:rsidRDefault="00D43D2E" w:rsidP="00D43D2E">
      <w:pPr>
        <w:spacing w:after="160" w:line="259" w:lineRule="auto"/>
        <w:jc w:val="both"/>
        <w:rPr>
          <w:rFonts w:ascii="Berlin Sans FB" w:eastAsiaTheme="minorHAnsi" w:hAnsi="Berlin Sans FB" w:cstheme="minorBidi"/>
          <w:sz w:val="24"/>
          <w:szCs w:val="24"/>
        </w:rPr>
      </w:pPr>
      <w:r w:rsidRPr="00D43D2E">
        <w:rPr>
          <w:rFonts w:ascii="Berlin Sans FB" w:eastAsiaTheme="minorHAnsi" w:hAnsi="Berlin Sans FB" w:cstheme="minorBidi"/>
          <w:sz w:val="24"/>
          <w:szCs w:val="24"/>
        </w:rPr>
        <w:t xml:space="preserve"> </w:t>
      </w:r>
    </w:p>
    <w:p w:rsidR="00D43D2E" w:rsidRPr="00D43D2E" w:rsidRDefault="00D43D2E" w:rsidP="00D43D2E">
      <w:pPr>
        <w:spacing w:after="160" w:line="259" w:lineRule="auto"/>
        <w:jc w:val="both"/>
        <w:rPr>
          <w:rFonts w:ascii="Berlin Sans FB" w:eastAsiaTheme="minorHAnsi" w:hAnsi="Berlin Sans FB" w:cstheme="minorBidi"/>
          <w:sz w:val="24"/>
          <w:szCs w:val="24"/>
        </w:rPr>
      </w:pPr>
      <w:r w:rsidRPr="00D43D2E">
        <w:rPr>
          <w:rFonts w:ascii="Berlin Sans FB" w:eastAsiaTheme="minorHAnsi" w:hAnsi="Berlin Sans FB" w:cstheme="minorBidi"/>
          <w:sz w:val="24"/>
          <w:szCs w:val="24"/>
        </w:rPr>
        <w:t xml:space="preserve">5. Coordinamento fra gli strumenti di programmazione La legge 190/2012, prevede che «l’organo di indirizzo definisce gli obiettivi strategici in materia di prevenzione della corruzione e trasparenza, che costituiscono contenuto necessario dei documenti di programmazione strategico-gestionale e del Piano triennale per la prevenzione della corruzione» (art. 1, co. 8, </w:t>
      </w:r>
      <w:r w:rsidRPr="00D43D2E">
        <w:rPr>
          <w:rFonts w:ascii="Berlin Sans FB" w:eastAsiaTheme="minorHAnsi" w:hAnsi="Berlin Sans FB" w:cstheme="minorBidi"/>
          <w:sz w:val="24"/>
          <w:szCs w:val="24"/>
        </w:rPr>
        <w:lastRenderedPageBreak/>
        <w:t xml:space="preserve">come sostituito dal d.lgs. 97/2016). Si ribadisce, pertanto, come anche già evidenziato nel § 5.1 della parte generale, la necessità che il PTPC contenga gli obiettivi strategici in materia di prevenzione e di trasparenza fissati dagli organi di indirizzo. Tali obiettivi devono altresì essere coordinati con quelli previsti in altri documenti di programmazione strategico-gestionale adottati dai comuni ivi inclusi, quindi, piano della performance e documento unico di programmazione (di seguito DUP). Quest’ultimo, nuovo documento contabile introdotto dal d.lgs. 23 giugno 2011 n. 118, «Disposizioni in materia di armonizzazione dei sistemi contabili e degli schemi di bilancio delle Regioni, degli enti locali e dei loro organismi, a norma degli articoli 1 e 2 della legge 5 maggio 2009, n. 42» (successivamente integrato con il d.lgs. 10 agosto 2014, n. 126), è stato adottato dalla generalità degli enti locali a partire dal 2015. Si propone che tra gli obiettivi strategici e operativi di tale strumento, una volta entrato a regime, vengano inseriti quelli relativi alle misure di prevenzione della corruzione previsti nel PTPC al fine di migliorare la coerenza programmatica e l’efficacia operativa degli strumenti. In prospettiva, più che un coordinamento ex post tra i documenti esistenti, che comunque costituisce un obiettivo minimale, maggiore efficacia potrà ottenersi dall’integrazione ex ante degli strumenti di programmazione.  Nel contesto di un percorso di allineamento temporale tra i due documenti - DUP e PTPC- che richiede un arco temporale maggiore, come prima indicazione operativa in sede di PNA 2016 si propone, dunque, di inserire nel DUP quantomeno gli indirizzi strategici sulla prevenzione della corruzione e sulla promozione della trasparenza ed i relativi indicatori di performance. </w:t>
      </w:r>
      <w:r>
        <w:rPr>
          <w:rFonts w:ascii="Berlin Sans FB" w:eastAsiaTheme="minorHAnsi" w:hAnsi="Berlin Sans FB" w:cstheme="minorBidi"/>
          <w:sz w:val="24"/>
          <w:szCs w:val="24"/>
        </w:rPr>
        <w:t>“</w:t>
      </w:r>
      <w:r w:rsidRPr="00D43D2E">
        <w:rPr>
          <w:rFonts w:ascii="Berlin Sans FB" w:eastAsiaTheme="minorHAnsi" w:hAnsi="Berlin Sans FB" w:cstheme="minorBidi"/>
          <w:sz w:val="24"/>
          <w:szCs w:val="24"/>
        </w:rPr>
        <w:t xml:space="preserve">  </w:t>
      </w:r>
    </w:p>
    <w:p w:rsidR="00D43D2E" w:rsidRDefault="00D43D2E" w:rsidP="00B934F9">
      <w:pPr>
        <w:jc w:val="both"/>
        <w:rPr>
          <w:rFonts w:ascii="Kristen ITC" w:hAnsi="Kristen ITC"/>
          <w:sz w:val="24"/>
          <w:szCs w:val="24"/>
        </w:rPr>
      </w:pPr>
    </w:p>
    <w:p w:rsidR="00B934F9" w:rsidRDefault="00B934F9" w:rsidP="00B934F9">
      <w:pPr>
        <w:jc w:val="both"/>
        <w:rPr>
          <w:rFonts w:ascii="Kristen ITC" w:hAnsi="Kristen ITC"/>
          <w:sz w:val="24"/>
          <w:szCs w:val="24"/>
        </w:rPr>
      </w:pPr>
    </w:p>
    <w:p w:rsidR="00B934F9" w:rsidRDefault="00B934F9" w:rsidP="00B934F9">
      <w:pPr>
        <w:jc w:val="both"/>
        <w:rPr>
          <w:rFonts w:ascii="Kristen ITC" w:hAnsi="Kristen ITC"/>
          <w:sz w:val="24"/>
          <w:szCs w:val="24"/>
        </w:rPr>
      </w:pPr>
      <w:r>
        <w:rPr>
          <w:rFonts w:ascii="Kristen ITC" w:hAnsi="Kristen ITC"/>
          <w:sz w:val="24"/>
          <w:szCs w:val="24"/>
        </w:rPr>
        <w:t>Norme Tecniche specifiche (Fonte ANCI</w:t>
      </w:r>
      <w:proofErr w:type="gramStart"/>
      <w:r>
        <w:rPr>
          <w:rFonts w:ascii="Kristen ITC" w:hAnsi="Kristen ITC"/>
          <w:sz w:val="24"/>
          <w:szCs w:val="24"/>
        </w:rPr>
        <w:t>) :</w:t>
      </w:r>
      <w:proofErr w:type="gramEnd"/>
      <w:r>
        <w:rPr>
          <w:rFonts w:ascii="Kristen ITC" w:hAnsi="Kristen ITC"/>
          <w:sz w:val="24"/>
          <w:szCs w:val="24"/>
        </w:rPr>
        <w:t xml:space="preserve"> </w:t>
      </w:r>
    </w:p>
    <w:p w:rsidR="00B934F9" w:rsidRDefault="00B934F9" w:rsidP="00B934F9">
      <w:pPr>
        <w:jc w:val="both"/>
        <w:rPr>
          <w:rFonts w:ascii="Kristen ITC" w:hAnsi="Kristen ITC"/>
          <w:sz w:val="24"/>
          <w:szCs w:val="24"/>
        </w:rPr>
      </w:pPr>
      <w:r>
        <w:rPr>
          <w:rFonts w:ascii="Kristen ITC" w:hAnsi="Kristen ITC"/>
          <w:sz w:val="24"/>
          <w:szCs w:val="24"/>
        </w:rPr>
        <w:t>UNI/ISO 31000:2010 Principi e linee guida per la gestione del rischio Versione italiana dello standard internazionale di riferimento per la gestione del rischio. Definisce i principi generali, la struttura organizzativa di riferimento e gli elementi del processo per la gestione dei rischi.</w:t>
      </w:r>
    </w:p>
    <w:p w:rsidR="00B934F9" w:rsidRDefault="00B934F9" w:rsidP="00B934F9">
      <w:pPr>
        <w:jc w:val="both"/>
        <w:rPr>
          <w:rFonts w:ascii="Kristen ITC" w:hAnsi="Kristen ITC"/>
          <w:sz w:val="24"/>
          <w:szCs w:val="24"/>
        </w:rPr>
      </w:pPr>
      <w:r>
        <w:rPr>
          <w:rFonts w:ascii="Kristen ITC" w:hAnsi="Kristen ITC"/>
          <w:sz w:val="24"/>
          <w:szCs w:val="24"/>
        </w:rPr>
        <w:t>Uni/</w:t>
      </w:r>
      <w:proofErr w:type="spellStart"/>
      <w:r>
        <w:rPr>
          <w:rFonts w:ascii="Kristen ITC" w:hAnsi="Kristen ITC"/>
          <w:sz w:val="24"/>
          <w:szCs w:val="24"/>
        </w:rPr>
        <w:t>PdR</w:t>
      </w:r>
      <w:proofErr w:type="spellEnd"/>
      <w:r>
        <w:rPr>
          <w:rFonts w:ascii="Kristen ITC" w:hAnsi="Kristen ITC"/>
          <w:sz w:val="24"/>
          <w:szCs w:val="24"/>
        </w:rPr>
        <w:t xml:space="preserve"> – Amministrazioni Locali. Indicatori delle prestazioni: prassi di riferimento per verificare se tenere sotto controllo le prestazioni dei processi del Comune ed il livello dei servizi offerti ai cittadini. Riporta, in appendice, un elenco dei processi tipici degli enti locali, suddivisi in processi di governo, processo operativi e processi di supporto. </w:t>
      </w:r>
    </w:p>
    <w:p w:rsidR="00B934F9" w:rsidRDefault="00B934F9" w:rsidP="00B934F9">
      <w:pPr>
        <w:jc w:val="both"/>
        <w:rPr>
          <w:rFonts w:ascii="Kristen ITC" w:hAnsi="Kristen ITC"/>
          <w:sz w:val="24"/>
          <w:szCs w:val="24"/>
        </w:rPr>
      </w:pPr>
      <w:r>
        <w:rPr>
          <w:rFonts w:ascii="Kristen ITC" w:hAnsi="Kristen ITC"/>
          <w:sz w:val="24"/>
          <w:szCs w:val="24"/>
        </w:rPr>
        <w:t xml:space="preserve">ISO/IEC </w:t>
      </w:r>
      <w:proofErr w:type="spellStart"/>
      <w:r>
        <w:rPr>
          <w:rFonts w:ascii="Kristen ITC" w:hAnsi="Kristen ITC"/>
          <w:sz w:val="24"/>
          <w:szCs w:val="24"/>
        </w:rPr>
        <w:t>Directives</w:t>
      </w:r>
      <w:proofErr w:type="spellEnd"/>
      <w:r>
        <w:rPr>
          <w:rFonts w:ascii="Kristen ITC" w:hAnsi="Kristen ITC"/>
          <w:sz w:val="24"/>
          <w:szCs w:val="24"/>
        </w:rPr>
        <w:t xml:space="preserve">, Part. 1, </w:t>
      </w:r>
      <w:proofErr w:type="spellStart"/>
      <w:r>
        <w:rPr>
          <w:rFonts w:ascii="Kristen ITC" w:hAnsi="Kristen ITC"/>
          <w:sz w:val="24"/>
          <w:szCs w:val="24"/>
        </w:rPr>
        <w:t>Consolidated</w:t>
      </w:r>
      <w:proofErr w:type="spellEnd"/>
      <w:r>
        <w:rPr>
          <w:rFonts w:ascii="Kristen ITC" w:hAnsi="Kristen ITC"/>
          <w:sz w:val="24"/>
          <w:szCs w:val="24"/>
        </w:rPr>
        <w:t xml:space="preserve"> ISO </w:t>
      </w:r>
      <w:proofErr w:type="spellStart"/>
      <w:r>
        <w:rPr>
          <w:rFonts w:ascii="Kristen ITC" w:hAnsi="Kristen ITC"/>
          <w:sz w:val="24"/>
          <w:szCs w:val="24"/>
        </w:rPr>
        <w:t>Supplement</w:t>
      </w:r>
      <w:proofErr w:type="spellEnd"/>
      <w:r>
        <w:rPr>
          <w:rFonts w:ascii="Kristen ITC" w:hAnsi="Kristen ITC"/>
          <w:sz w:val="24"/>
          <w:szCs w:val="24"/>
        </w:rPr>
        <w:t xml:space="preserve">, 2015: </w:t>
      </w:r>
      <w:proofErr w:type="spellStart"/>
      <w:r>
        <w:rPr>
          <w:rFonts w:ascii="Kristen ITC" w:hAnsi="Kristen ITC"/>
          <w:sz w:val="24"/>
          <w:szCs w:val="24"/>
        </w:rPr>
        <w:t>documentp</w:t>
      </w:r>
      <w:proofErr w:type="spellEnd"/>
      <w:r>
        <w:rPr>
          <w:rFonts w:ascii="Kristen ITC" w:hAnsi="Kristen ITC"/>
          <w:sz w:val="24"/>
          <w:szCs w:val="24"/>
        </w:rPr>
        <w:t xml:space="preserve"> che definisce le procedure base che devono essere seguite nello sviluppo degli standard internazionali. L’allegato SL alle direttive definisce la High Level </w:t>
      </w:r>
      <w:proofErr w:type="spellStart"/>
      <w:r>
        <w:rPr>
          <w:rFonts w:ascii="Kristen ITC" w:hAnsi="Kristen ITC"/>
          <w:sz w:val="24"/>
          <w:szCs w:val="24"/>
        </w:rPr>
        <w:t>Structure</w:t>
      </w:r>
      <w:proofErr w:type="spellEnd"/>
      <w:r>
        <w:rPr>
          <w:rFonts w:ascii="Kristen ITC" w:hAnsi="Kristen ITC"/>
          <w:sz w:val="24"/>
          <w:szCs w:val="24"/>
        </w:rPr>
        <w:t xml:space="preserve"> (HLS) nucleo minimo di contenuti comuni a tutti i sistemi di gestione.</w:t>
      </w:r>
    </w:p>
    <w:p w:rsidR="00B934F9" w:rsidRDefault="00B934F9" w:rsidP="00B934F9">
      <w:pPr>
        <w:jc w:val="both"/>
        <w:rPr>
          <w:rFonts w:ascii="Kristen ITC" w:hAnsi="Kristen ITC"/>
          <w:sz w:val="24"/>
          <w:szCs w:val="24"/>
        </w:rPr>
      </w:pPr>
      <w:r>
        <w:rPr>
          <w:rFonts w:ascii="Kristen ITC" w:hAnsi="Kristen ITC"/>
          <w:sz w:val="24"/>
          <w:szCs w:val="24"/>
        </w:rPr>
        <w:t>ISO/DIS 37001 – Anti-</w:t>
      </w:r>
      <w:proofErr w:type="spellStart"/>
      <w:r>
        <w:rPr>
          <w:rFonts w:ascii="Kristen ITC" w:hAnsi="Kristen ITC"/>
          <w:sz w:val="24"/>
          <w:szCs w:val="24"/>
        </w:rPr>
        <w:t>Bribery</w:t>
      </w:r>
      <w:proofErr w:type="spellEnd"/>
      <w:r>
        <w:rPr>
          <w:rFonts w:ascii="Kristen ITC" w:hAnsi="Kristen ITC"/>
          <w:sz w:val="24"/>
          <w:szCs w:val="24"/>
        </w:rPr>
        <w:t xml:space="preserve"> Management Systems: standard internazionale per i sistemi di gestione anticorruzione. </w:t>
      </w:r>
    </w:p>
    <w:p w:rsidR="00B934F9" w:rsidRDefault="00B934F9" w:rsidP="00B934F9">
      <w:pPr>
        <w:jc w:val="both"/>
        <w:rPr>
          <w:rFonts w:ascii="Kristen ITC" w:hAnsi="Kristen ITC"/>
          <w:sz w:val="24"/>
          <w:szCs w:val="24"/>
        </w:rPr>
      </w:pPr>
      <w:r>
        <w:rPr>
          <w:rFonts w:ascii="Kristen ITC" w:hAnsi="Kristen ITC"/>
          <w:sz w:val="24"/>
          <w:szCs w:val="24"/>
        </w:rPr>
        <w:lastRenderedPageBreak/>
        <w:t>Quadro delle competenze e piani di lavoro</w:t>
      </w:r>
    </w:p>
    <w:p w:rsidR="00B934F9" w:rsidRDefault="00B934F9" w:rsidP="00B934F9">
      <w:pPr>
        <w:jc w:val="both"/>
        <w:rPr>
          <w:rFonts w:ascii="Kristen ITC" w:hAnsi="Kristen ITC"/>
          <w:sz w:val="24"/>
          <w:szCs w:val="24"/>
        </w:rPr>
      </w:pPr>
      <w:r>
        <w:rPr>
          <w:rFonts w:ascii="Kristen ITC" w:hAnsi="Kristen ITC"/>
          <w:sz w:val="24"/>
          <w:szCs w:val="24"/>
        </w:rPr>
        <w:t>Controllo di gestione</w:t>
      </w:r>
    </w:p>
    <w:p w:rsidR="00B934F9" w:rsidRDefault="00B934F9" w:rsidP="00B934F9">
      <w:pPr>
        <w:jc w:val="both"/>
        <w:rPr>
          <w:rFonts w:ascii="Kristen ITC" w:hAnsi="Kristen ITC"/>
          <w:sz w:val="24"/>
          <w:szCs w:val="24"/>
        </w:rPr>
      </w:pPr>
      <w:r>
        <w:rPr>
          <w:rFonts w:ascii="Kristen ITC" w:hAnsi="Kristen ITC"/>
          <w:sz w:val="24"/>
          <w:szCs w:val="24"/>
        </w:rPr>
        <w:t>Contesto interno – Delibera ANAC n. 12/2015</w:t>
      </w:r>
      <w:r w:rsidR="00107735">
        <w:rPr>
          <w:rFonts w:ascii="Kristen ITC" w:hAnsi="Kristen ITC"/>
          <w:sz w:val="24"/>
          <w:szCs w:val="24"/>
        </w:rPr>
        <w:t xml:space="preserve"> – Riferimento organizzativo</w:t>
      </w:r>
      <w:r w:rsidR="00456331">
        <w:rPr>
          <w:rFonts w:ascii="Kristen ITC" w:hAnsi="Kristen ITC"/>
          <w:sz w:val="24"/>
          <w:szCs w:val="24"/>
        </w:rPr>
        <w:t xml:space="preserve"> (soggetto ad aggiornamento in sede </w:t>
      </w:r>
      <w:proofErr w:type="gramStart"/>
      <w:r w:rsidR="00456331">
        <w:rPr>
          <w:rFonts w:ascii="Kristen ITC" w:hAnsi="Kristen ITC"/>
          <w:sz w:val="24"/>
          <w:szCs w:val="24"/>
        </w:rPr>
        <w:t xml:space="preserve">PEG) </w:t>
      </w:r>
      <w:r w:rsidR="00107735">
        <w:rPr>
          <w:rFonts w:ascii="Kristen ITC" w:hAnsi="Kristen ITC"/>
          <w:sz w:val="24"/>
          <w:szCs w:val="24"/>
        </w:rPr>
        <w:t xml:space="preserve"> :</w:t>
      </w:r>
      <w:proofErr w:type="gramEnd"/>
    </w:p>
    <w:p w:rsidR="002E236C" w:rsidRDefault="002E236C" w:rsidP="002E236C">
      <w:pPr>
        <w:autoSpaceDE w:val="0"/>
        <w:autoSpaceDN w:val="0"/>
        <w:adjustRightInd w:val="0"/>
        <w:spacing w:after="0" w:line="240" w:lineRule="auto"/>
        <w:jc w:val="center"/>
        <w:rPr>
          <w:rFonts w:ascii="Verdana" w:eastAsia="Times New Roman" w:hAnsi="Verdana" w:cs="Verdana"/>
          <w:color w:val="FF0000"/>
          <w:sz w:val="24"/>
          <w:szCs w:val="24"/>
          <w:lang w:eastAsia="it-IT"/>
        </w:rPr>
      </w:pPr>
    </w:p>
    <w:p w:rsidR="002E236C" w:rsidRPr="002E236C" w:rsidRDefault="002E236C" w:rsidP="002E236C">
      <w:pPr>
        <w:autoSpaceDE w:val="0"/>
        <w:autoSpaceDN w:val="0"/>
        <w:adjustRightInd w:val="0"/>
        <w:spacing w:after="0" w:line="240" w:lineRule="auto"/>
        <w:jc w:val="center"/>
        <w:rPr>
          <w:rFonts w:ascii="Verdana" w:eastAsia="Times New Roman" w:hAnsi="Verdana" w:cs="Verdana"/>
          <w:color w:val="FF0000"/>
          <w:sz w:val="24"/>
          <w:szCs w:val="24"/>
          <w:lang w:eastAsia="it-IT"/>
        </w:rPr>
      </w:pPr>
      <w:r w:rsidRPr="002E236C">
        <w:rPr>
          <w:rFonts w:ascii="Verdana" w:eastAsia="Times New Roman" w:hAnsi="Verdana" w:cs="Verdana"/>
          <w:color w:val="FF0000"/>
          <w:sz w:val="24"/>
          <w:szCs w:val="24"/>
          <w:lang w:eastAsia="it-IT"/>
        </w:rPr>
        <w:t>SEGRETARIO GENERALE</w:t>
      </w:r>
    </w:p>
    <w:p w:rsidR="002E236C" w:rsidRPr="002E236C" w:rsidRDefault="002E236C" w:rsidP="002E236C">
      <w:pPr>
        <w:autoSpaceDE w:val="0"/>
        <w:autoSpaceDN w:val="0"/>
        <w:adjustRightInd w:val="0"/>
        <w:spacing w:after="0" w:line="240" w:lineRule="auto"/>
        <w:jc w:val="both"/>
        <w:rPr>
          <w:rFonts w:ascii="Verdana" w:eastAsia="Times New Roman" w:hAnsi="Verdana" w:cs="Verdana"/>
          <w:b/>
          <w:bCs/>
          <w:color w:val="FF0000"/>
          <w:sz w:val="20"/>
          <w:szCs w:val="20"/>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4"/>
          <w:szCs w:val="24"/>
          <w:lang w:eastAsia="it-IT"/>
        </w:rPr>
      </w:pPr>
      <w:r w:rsidRPr="002E236C">
        <w:rPr>
          <w:rFonts w:ascii="Verdana" w:eastAsia="Times New Roman" w:hAnsi="Verdana" w:cs="Verdana"/>
          <w:b/>
          <w:bCs/>
          <w:color w:val="FF0000"/>
          <w:sz w:val="24"/>
          <w:szCs w:val="24"/>
          <w:lang w:eastAsia="it-IT"/>
        </w:rPr>
        <w:t xml:space="preserve">                                                                                          </w:t>
      </w:r>
      <w:r w:rsidRPr="002E236C">
        <w:rPr>
          <w:rFonts w:ascii="Verdana" w:eastAsia="Times New Roman" w:hAnsi="Verdana" w:cs="Verdana"/>
          <w:b/>
          <w:bCs/>
          <w:color w:val="FF0000"/>
          <w:sz w:val="24"/>
          <w:szCs w:val="24"/>
          <w:lang w:eastAsia="it-IT"/>
        </w:rPr>
        <w:tab/>
      </w:r>
      <w:r w:rsidRPr="002E236C">
        <w:rPr>
          <w:rFonts w:ascii="Verdana" w:eastAsia="Times New Roman" w:hAnsi="Verdana" w:cs="Verdana"/>
          <w:b/>
          <w:bCs/>
          <w:color w:val="FF0000"/>
          <w:sz w:val="24"/>
          <w:szCs w:val="24"/>
          <w:lang w:eastAsia="it-IT"/>
        </w:rPr>
        <w:tab/>
      </w:r>
      <w:r w:rsidRPr="002E236C">
        <w:rPr>
          <w:rFonts w:ascii="Verdana" w:eastAsia="Times New Roman" w:hAnsi="Verdana" w:cs="Verdana"/>
          <w:b/>
          <w:bCs/>
          <w:color w:val="FF0000"/>
          <w:sz w:val="24"/>
          <w:szCs w:val="24"/>
          <w:lang w:eastAsia="it-IT"/>
        </w:rPr>
        <w:tab/>
      </w:r>
      <w:r w:rsidRPr="002E236C">
        <w:rPr>
          <w:rFonts w:ascii="Verdana" w:eastAsia="Times New Roman" w:hAnsi="Verdana" w:cs="Verdana"/>
          <w:b/>
          <w:bCs/>
          <w:color w:val="FF0000"/>
          <w:sz w:val="24"/>
          <w:szCs w:val="24"/>
          <w:lang w:eastAsia="it-IT"/>
        </w:rPr>
        <w:tab/>
      </w:r>
      <w:r w:rsidRPr="002E236C">
        <w:rPr>
          <w:rFonts w:ascii="Verdana" w:eastAsia="Times New Roman" w:hAnsi="Verdana" w:cs="Verdana"/>
          <w:b/>
          <w:bCs/>
          <w:color w:val="FF0000"/>
          <w:sz w:val="24"/>
          <w:szCs w:val="24"/>
          <w:lang w:eastAsia="it-IT"/>
        </w:rPr>
        <w:tab/>
      </w:r>
      <w:r w:rsidRPr="002E236C">
        <w:rPr>
          <w:rFonts w:ascii="Verdana" w:eastAsia="Times New Roman" w:hAnsi="Verdana" w:cs="Verdana"/>
          <w:b/>
          <w:bCs/>
          <w:color w:val="FF0000"/>
          <w:sz w:val="24"/>
          <w:szCs w:val="24"/>
          <w:lang w:eastAsia="it-IT"/>
        </w:rPr>
        <w:tab/>
      </w:r>
      <w:r w:rsidRPr="002E236C">
        <w:rPr>
          <w:rFonts w:ascii="Verdana" w:eastAsia="Times New Roman" w:hAnsi="Verdana" w:cs="Verdana"/>
          <w:b/>
          <w:bCs/>
          <w:color w:val="FF0000"/>
          <w:sz w:val="24"/>
          <w:szCs w:val="24"/>
          <w:lang w:eastAsia="it-IT"/>
        </w:rPr>
        <w:tab/>
      </w:r>
      <w:r w:rsidRPr="002E236C">
        <w:rPr>
          <w:rFonts w:ascii="Verdana" w:eastAsia="Times New Roman" w:hAnsi="Verdana" w:cs="Verdana"/>
          <w:color w:val="FF0000"/>
          <w:sz w:val="24"/>
          <w:szCs w:val="24"/>
          <w:lang w:eastAsia="it-IT"/>
        </w:rPr>
        <w:tab/>
      </w: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4"/>
          <w:szCs w:val="24"/>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59264" behindDoc="0" locked="1" layoutInCell="1" allowOverlap="1">
                <wp:simplePos x="0" y="0"/>
                <wp:positionH relativeFrom="column">
                  <wp:posOffset>207645</wp:posOffset>
                </wp:positionH>
                <wp:positionV relativeFrom="paragraph">
                  <wp:posOffset>-4445</wp:posOffset>
                </wp:positionV>
                <wp:extent cx="1447800" cy="718820"/>
                <wp:effectExtent l="13335" t="13335" r="5715" b="10795"/>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18820"/>
                        </a:xfrm>
                        <a:prstGeom prst="rect">
                          <a:avLst/>
                        </a:prstGeom>
                        <a:solidFill>
                          <a:srgbClr val="FFFFFF"/>
                        </a:solidFill>
                        <a:ln w="9525">
                          <a:solidFill>
                            <a:srgbClr val="000000"/>
                          </a:solidFill>
                          <a:miter lim="800000"/>
                          <a:headEnd/>
                          <a:tailEnd/>
                        </a:ln>
                      </wps:spPr>
                      <wps:txbx>
                        <w:txbxContent>
                          <w:p w:rsidR="001406AD" w:rsidRPr="00EC61F6" w:rsidRDefault="001406AD" w:rsidP="002E236C">
                            <w:pPr>
                              <w:rPr>
                                <w:color w:val="FF0000"/>
                                <w:sz w:val="20"/>
                                <w:szCs w:val="20"/>
                              </w:rPr>
                            </w:pPr>
                            <w:r>
                              <w:rPr>
                                <w:color w:val="FF0000"/>
                                <w:sz w:val="20"/>
                                <w:szCs w:val="20"/>
                              </w:rPr>
                              <w:t>RISORSE UMANE E RELAZIONI SINDACALI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4" o:spid="_x0000_s1026" type="#_x0000_t202" style="position:absolute;left:0;text-align:left;margin-left:16.35pt;margin-top:-.35pt;width:114pt;height:5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">
                <v:textbox>
                  <w:txbxContent>
                    <w:p w:rsidR="001406AD" w:rsidRPr="00EC61F6" w:rsidRDefault="001406AD" w:rsidP="002E236C">
                      <w:pPr>
                        <w:rPr>
                          <w:color w:val="FF0000"/>
                          <w:sz w:val="20"/>
                          <w:szCs w:val="20"/>
                        </w:rPr>
                      </w:pPr>
                      <w:r>
                        <w:rPr>
                          <w:color w:val="FF0000"/>
                          <w:sz w:val="20"/>
                          <w:szCs w:val="20"/>
                        </w:rPr>
                        <w:t>RISORSE UMANE E RELAZIONI SINDACALI</w:t>
                      </w:r>
                    </w:p>
                  </w:txbxContent>
                </v:textbox>
                <w10:anchorlock/>
              </v:shape>
            </w:pict>
          </mc:Fallback>
        </mc:AlternateContent>
      </w: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4"/>
          <w:szCs w:val="24"/>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4"/>
          <w:szCs w:val="24"/>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4"/>
          <w:szCs w:val="24"/>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4"/>
          <w:szCs w:val="24"/>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4"/>
          <w:szCs w:val="24"/>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4"/>
          <w:szCs w:val="24"/>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000000"/>
          <w:sz w:val="20"/>
          <w:szCs w:val="20"/>
          <w:lang w:eastAsia="it-IT"/>
        </w:rPr>
      </w:pPr>
    </w:p>
    <w:tbl>
      <w:tblPr>
        <w:tblpPr w:leftFromText="141" w:rightFromText="141"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tblGrid>
      <w:tr w:rsidR="002E236C" w:rsidRPr="002E236C" w:rsidTr="00D11A23">
        <w:trPr>
          <w:trHeight w:val="798"/>
        </w:trPr>
        <w:tc>
          <w:tcPr>
            <w:tcW w:w="2880" w:type="dxa"/>
          </w:tcPr>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0"/>
                <w:szCs w:val="20"/>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0"/>
                <w:szCs w:val="20"/>
                <w:lang w:eastAsia="it-IT"/>
              </w:rPr>
            </w:pPr>
            <w:r w:rsidRPr="002E236C">
              <w:rPr>
                <w:rFonts w:ascii="Verdana" w:eastAsia="Times New Roman" w:hAnsi="Verdana" w:cs="Verdana"/>
                <w:color w:val="FF0000"/>
                <w:sz w:val="20"/>
                <w:szCs w:val="20"/>
                <w:lang w:eastAsia="it-IT"/>
              </w:rPr>
              <w:t>SEGRETARIO GENERALE</w:t>
            </w:r>
          </w:p>
          <w:p w:rsidR="002E236C" w:rsidRPr="002E236C" w:rsidRDefault="002E236C" w:rsidP="002E236C">
            <w:pPr>
              <w:tabs>
                <w:tab w:val="left" w:pos="1940"/>
              </w:tabs>
              <w:autoSpaceDE w:val="0"/>
              <w:autoSpaceDN w:val="0"/>
              <w:adjustRightInd w:val="0"/>
              <w:spacing w:after="0" w:line="240" w:lineRule="auto"/>
              <w:jc w:val="both"/>
              <w:rPr>
                <w:rFonts w:ascii="Verdana" w:eastAsia="Times New Roman" w:hAnsi="Verdana" w:cs="Verdana"/>
                <w:color w:val="FF0000"/>
                <w:sz w:val="20"/>
                <w:szCs w:val="20"/>
                <w:lang w:eastAsia="it-IT"/>
              </w:rPr>
            </w:pPr>
            <w:r w:rsidRPr="002E236C">
              <w:rPr>
                <w:rFonts w:ascii="Verdana" w:eastAsia="Times New Roman" w:hAnsi="Verdana" w:cs="Verdana"/>
                <w:color w:val="FF0000"/>
                <w:sz w:val="20"/>
                <w:szCs w:val="20"/>
                <w:lang w:eastAsia="it-IT"/>
              </w:rPr>
              <w:tab/>
            </w:r>
          </w:p>
        </w:tc>
      </w:tr>
    </w:tbl>
    <w:p w:rsidR="002E236C" w:rsidRPr="002E236C" w:rsidRDefault="002E236C" w:rsidP="002E236C">
      <w:pPr>
        <w:autoSpaceDE w:val="0"/>
        <w:autoSpaceDN w:val="0"/>
        <w:adjustRightInd w:val="0"/>
        <w:spacing w:after="0" w:line="240" w:lineRule="auto"/>
        <w:ind w:left="1416" w:firstLine="708"/>
        <w:jc w:val="both"/>
        <w:rPr>
          <w:rFonts w:ascii="Arial" w:eastAsia="Times New Roman" w:hAnsi="Arial" w:cs="Arial"/>
          <w:color w:val="000000"/>
          <w:sz w:val="24"/>
          <w:szCs w:val="24"/>
          <w:lang w:eastAsia="it-IT"/>
        </w:rPr>
      </w:pPr>
    </w:p>
    <w:p w:rsidR="002E236C" w:rsidRPr="002E236C" w:rsidRDefault="002E236C" w:rsidP="002E236C">
      <w:pPr>
        <w:autoSpaceDE w:val="0"/>
        <w:autoSpaceDN w:val="0"/>
        <w:adjustRightInd w:val="0"/>
        <w:spacing w:after="0" w:line="240" w:lineRule="auto"/>
        <w:ind w:left="1416" w:firstLine="708"/>
        <w:jc w:val="both"/>
        <w:rPr>
          <w:rFonts w:ascii="Arial" w:eastAsia="Times New Roman" w:hAnsi="Arial" w:cs="Arial"/>
          <w:color w:val="000000"/>
          <w:sz w:val="24"/>
          <w:szCs w:val="24"/>
          <w:lang w:eastAsia="it-IT"/>
        </w:rPr>
      </w:pPr>
    </w:p>
    <w:p w:rsidR="002E236C" w:rsidRPr="002E236C" w:rsidRDefault="002E236C" w:rsidP="002E236C">
      <w:pPr>
        <w:autoSpaceDE w:val="0"/>
        <w:autoSpaceDN w:val="0"/>
        <w:adjustRightInd w:val="0"/>
        <w:spacing w:after="0" w:line="240" w:lineRule="auto"/>
        <w:ind w:left="1416" w:firstLine="708"/>
        <w:jc w:val="both"/>
        <w:rPr>
          <w:rFonts w:ascii="Arial" w:eastAsia="Times New Roman" w:hAnsi="Arial" w:cs="Arial"/>
          <w:color w:val="000000"/>
          <w:sz w:val="24"/>
          <w:szCs w:val="24"/>
          <w:lang w:eastAsia="it-IT"/>
        </w:rPr>
      </w:pPr>
    </w:p>
    <w:p w:rsidR="002E236C" w:rsidRPr="002E236C" w:rsidRDefault="002E236C" w:rsidP="002E236C">
      <w:pPr>
        <w:autoSpaceDE w:val="0"/>
        <w:autoSpaceDN w:val="0"/>
        <w:adjustRightInd w:val="0"/>
        <w:spacing w:after="0" w:line="240" w:lineRule="auto"/>
        <w:ind w:left="1416" w:firstLine="708"/>
        <w:jc w:val="both"/>
        <w:rPr>
          <w:rFonts w:ascii="Arial" w:eastAsia="Times New Roman" w:hAnsi="Arial" w:cs="Arial"/>
          <w:color w:val="000000"/>
          <w:sz w:val="24"/>
          <w:szCs w:val="24"/>
          <w:lang w:eastAsia="it-IT"/>
        </w:rPr>
      </w:pPr>
    </w:p>
    <w:p w:rsidR="002E236C" w:rsidRPr="002E236C" w:rsidRDefault="002E236C" w:rsidP="002E236C">
      <w:pPr>
        <w:autoSpaceDE w:val="0"/>
        <w:autoSpaceDN w:val="0"/>
        <w:adjustRightInd w:val="0"/>
        <w:spacing w:after="0" w:line="240" w:lineRule="auto"/>
        <w:jc w:val="both"/>
        <w:rPr>
          <w:rFonts w:ascii="Arial" w:eastAsia="Times New Roman" w:hAnsi="Arial" w:cs="Arial"/>
          <w:b/>
          <w:color w:val="000000"/>
          <w:sz w:val="24"/>
          <w:szCs w:val="24"/>
          <w:lang w:eastAsia="it-IT"/>
        </w:rPr>
      </w:pPr>
      <w:r w:rsidRPr="002E236C">
        <w:rPr>
          <w:rFonts w:ascii="Arial" w:eastAsia="Times New Roman" w:hAnsi="Arial" w:cs="Arial"/>
          <w:b/>
          <w:color w:val="000000"/>
          <w:sz w:val="24"/>
          <w:szCs w:val="24"/>
          <w:lang w:eastAsia="it-IT"/>
        </w:rPr>
        <w:t xml:space="preserve">Pinzuti Dr. Michele - Segretario Generale </w:t>
      </w:r>
    </w:p>
    <w:p w:rsidR="002E236C" w:rsidRPr="002E236C" w:rsidRDefault="002E236C" w:rsidP="002E236C">
      <w:pPr>
        <w:autoSpaceDE w:val="0"/>
        <w:autoSpaceDN w:val="0"/>
        <w:adjustRightInd w:val="0"/>
        <w:spacing w:after="0" w:line="240" w:lineRule="auto"/>
        <w:ind w:left="1416" w:firstLine="708"/>
        <w:jc w:val="both"/>
        <w:rPr>
          <w:rFonts w:ascii="Arial" w:eastAsia="Times New Roman" w:hAnsi="Arial" w:cs="Arial"/>
          <w:color w:val="000000"/>
          <w:sz w:val="24"/>
          <w:szCs w:val="24"/>
          <w:lang w:eastAsia="it-IT"/>
        </w:rPr>
      </w:pPr>
    </w:p>
    <w:p w:rsidR="002E236C" w:rsidRPr="002E236C" w:rsidRDefault="002E236C" w:rsidP="002E236C">
      <w:pPr>
        <w:autoSpaceDE w:val="0"/>
        <w:autoSpaceDN w:val="0"/>
        <w:adjustRightInd w:val="0"/>
        <w:spacing w:after="0" w:line="240" w:lineRule="auto"/>
        <w:ind w:left="1416" w:firstLine="708"/>
        <w:rPr>
          <w:rFonts w:ascii="Arial" w:eastAsia="Times New Roman" w:hAnsi="Arial" w:cs="Arial"/>
          <w:color w:val="000000"/>
          <w:sz w:val="24"/>
          <w:szCs w:val="24"/>
          <w:lang w:eastAsia="it-IT"/>
        </w:rPr>
      </w:pPr>
    </w:p>
    <w:p w:rsidR="002E236C" w:rsidRPr="002E236C" w:rsidRDefault="002E236C" w:rsidP="002E236C">
      <w:pPr>
        <w:autoSpaceDE w:val="0"/>
        <w:autoSpaceDN w:val="0"/>
        <w:adjustRightInd w:val="0"/>
        <w:spacing w:after="0" w:line="240" w:lineRule="auto"/>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Assistenza agli organi</w:t>
      </w:r>
    </w:p>
    <w:p w:rsidR="002E236C" w:rsidRPr="002E236C" w:rsidRDefault="002E236C" w:rsidP="002E236C">
      <w:pPr>
        <w:autoSpaceDE w:val="0"/>
        <w:autoSpaceDN w:val="0"/>
        <w:adjustRightInd w:val="0"/>
        <w:spacing w:after="0" w:line="240" w:lineRule="auto"/>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 xml:space="preserve">Controllo interno   </w:t>
      </w:r>
    </w:p>
    <w:p w:rsidR="002E236C" w:rsidRPr="002E236C" w:rsidRDefault="002E236C" w:rsidP="002E236C">
      <w:pPr>
        <w:autoSpaceDE w:val="0"/>
        <w:autoSpaceDN w:val="0"/>
        <w:adjustRightInd w:val="0"/>
        <w:spacing w:after="0" w:line="240" w:lineRule="auto"/>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 xml:space="preserve">Piano Anticorruzione e Trasparenza  </w:t>
      </w:r>
    </w:p>
    <w:p w:rsidR="002E236C" w:rsidRPr="002E236C" w:rsidRDefault="002E236C" w:rsidP="002E236C">
      <w:pPr>
        <w:autoSpaceDE w:val="0"/>
        <w:autoSpaceDN w:val="0"/>
        <w:adjustRightInd w:val="0"/>
        <w:spacing w:after="0" w:line="240" w:lineRule="auto"/>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Rapporti con RSU (delegazione trattante parte pubblica)</w:t>
      </w:r>
    </w:p>
    <w:p w:rsidR="002E236C" w:rsidRPr="002E236C" w:rsidRDefault="002E236C" w:rsidP="002E236C">
      <w:pPr>
        <w:autoSpaceDE w:val="0"/>
        <w:autoSpaceDN w:val="0"/>
        <w:adjustRightInd w:val="0"/>
        <w:spacing w:after="0" w:line="240" w:lineRule="auto"/>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 xml:space="preserve">Consulenza giuridico-amministrativa </w:t>
      </w:r>
    </w:p>
    <w:p w:rsidR="002E236C" w:rsidRPr="002E236C" w:rsidRDefault="002E236C" w:rsidP="002E236C">
      <w:pPr>
        <w:autoSpaceDE w:val="0"/>
        <w:autoSpaceDN w:val="0"/>
        <w:adjustRightInd w:val="0"/>
        <w:spacing w:after="0" w:line="240" w:lineRule="auto"/>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 xml:space="preserve">Coordinamento formazione </w:t>
      </w:r>
    </w:p>
    <w:p w:rsidR="002E236C" w:rsidRPr="002E236C" w:rsidRDefault="002E236C" w:rsidP="002E236C">
      <w:pPr>
        <w:autoSpaceDE w:val="0"/>
        <w:autoSpaceDN w:val="0"/>
        <w:adjustRightInd w:val="0"/>
        <w:spacing w:after="0" w:line="240" w:lineRule="auto"/>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 xml:space="preserve">Coordinamento responsabili </w:t>
      </w:r>
      <w:proofErr w:type="spellStart"/>
      <w:r w:rsidRPr="002E236C">
        <w:rPr>
          <w:rFonts w:ascii="Arial" w:eastAsia="Times New Roman" w:hAnsi="Arial" w:cs="Arial"/>
          <w:color w:val="000000"/>
          <w:sz w:val="24"/>
          <w:szCs w:val="24"/>
          <w:lang w:eastAsia="it-IT"/>
        </w:rPr>
        <w:t>di area</w:t>
      </w:r>
      <w:proofErr w:type="spellEnd"/>
      <w:r w:rsidRPr="002E236C">
        <w:rPr>
          <w:rFonts w:ascii="Arial" w:eastAsia="Times New Roman" w:hAnsi="Arial" w:cs="Arial"/>
          <w:color w:val="000000"/>
          <w:sz w:val="24"/>
          <w:szCs w:val="24"/>
          <w:lang w:eastAsia="it-IT"/>
        </w:rPr>
        <w:t xml:space="preserve"> e predisposizione obiettivi per il PEG</w:t>
      </w:r>
    </w:p>
    <w:p w:rsidR="002E236C" w:rsidRPr="002E236C" w:rsidRDefault="00652E8B" w:rsidP="002E236C">
      <w:pPr>
        <w:autoSpaceDE w:val="0"/>
        <w:autoSpaceDN w:val="0"/>
        <w:adjustRightInd w:val="0"/>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Nucleo di valutazione</w:t>
      </w:r>
      <w:r w:rsidR="002E236C" w:rsidRPr="002E236C">
        <w:rPr>
          <w:rFonts w:ascii="Arial" w:eastAsia="Times New Roman" w:hAnsi="Arial" w:cs="Arial"/>
          <w:color w:val="000000"/>
          <w:sz w:val="24"/>
          <w:szCs w:val="24"/>
          <w:lang w:eastAsia="it-IT"/>
        </w:rPr>
        <w:t>.</w:t>
      </w:r>
    </w:p>
    <w:p w:rsidR="002E236C" w:rsidRPr="002E236C" w:rsidRDefault="002E236C" w:rsidP="002E236C">
      <w:pPr>
        <w:autoSpaceDE w:val="0"/>
        <w:autoSpaceDN w:val="0"/>
        <w:adjustRightInd w:val="0"/>
        <w:spacing w:after="0" w:line="240" w:lineRule="auto"/>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ab/>
      </w:r>
      <w:r w:rsidRPr="002E236C">
        <w:rPr>
          <w:rFonts w:ascii="Arial" w:eastAsia="Times New Roman" w:hAnsi="Arial" w:cs="Arial"/>
          <w:color w:val="000000"/>
          <w:sz w:val="24"/>
          <w:szCs w:val="24"/>
          <w:lang w:eastAsia="it-IT"/>
        </w:rPr>
        <w:tab/>
      </w:r>
      <w:r w:rsidRPr="002E236C">
        <w:rPr>
          <w:rFonts w:ascii="Arial" w:eastAsia="Times New Roman" w:hAnsi="Arial" w:cs="Arial"/>
          <w:color w:val="000000"/>
          <w:sz w:val="24"/>
          <w:szCs w:val="24"/>
          <w:lang w:eastAsia="it-IT"/>
        </w:rPr>
        <w:tab/>
      </w:r>
      <w:r w:rsidRPr="002E236C">
        <w:rPr>
          <w:rFonts w:ascii="Arial" w:eastAsia="Times New Roman" w:hAnsi="Arial" w:cs="Arial"/>
          <w:color w:val="000000"/>
          <w:sz w:val="24"/>
          <w:szCs w:val="24"/>
          <w:lang w:eastAsia="it-IT"/>
        </w:rPr>
        <w:tab/>
      </w:r>
      <w:r w:rsidRPr="002E236C">
        <w:rPr>
          <w:rFonts w:ascii="Arial" w:eastAsia="Times New Roman" w:hAnsi="Arial" w:cs="Arial"/>
          <w:color w:val="000000"/>
          <w:sz w:val="24"/>
          <w:szCs w:val="24"/>
          <w:lang w:eastAsia="it-IT"/>
        </w:rPr>
        <w:tab/>
      </w:r>
      <w:r w:rsidRPr="002E236C">
        <w:rPr>
          <w:rFonts w:ascii="Arial" w:eastAsia="Times New Roman" w:hAnsi="Arial" w:cs="Arial"/>
          <w:color w:val="000000"/>
          <w:sz w:val="24"/>
          <w:szCs w:val="24"/>
          <w:lang w:eastAsia="it-IT"/>
        </w:rPr>
        <w:tab/>
        <w:t xml:space="preserve">          </w:t>
      </w: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p>
    <w:p w:rsidR="002E236C" w:rsidRDefault="002E236C" w:rsidP="002E236C">
      <w:pPr>
        <w:autoSpaceDE w:val="0"/>
        <w:autoSpaceDN w:val="0"/>
        <w:adjustRightInd w:val="0"/>
        <w:spacing w:after="0" w:line="240" w:lineRule="auto"/>
        <w:rPr>
          <w:rFonts w:ascii="Arial" w:eastAsia="Times New Roman" w:hAnsi="Arial" w:cs="Arial"/>
          <w:b/>
          <w:bCs/>
          <w:color w:val="000000"/>
          <w:sz w:val="28"/>
          <w:szCs w:val="28"/>
          <w:lang w:eastAsia="it-IT"/>
        </w:rPr>
      </w:pPr>
      <w:r w:rsidRPr="002E236C">
        <w:rPr>
          <w:rFonts w:ascii="Arial" w:eastAsia="Times New Roman" w:hAnsi="Arial" w:cs="Arial"/>
          <w:b/>
          <w:bCs/>
          <w:color w:val="000000"/>
          <w:sz w:val="28"/>
          <w:szCs w:val="28"/>
          <w:lang w:eastAsia="it-IT"/>
        </w:rPr>
        <w:t xml:space="preserve">Si avvale in via diretta del personale assegnato all’Area Affari Generali, Area Amministrativa e </w:t>
      </w:r>
      <w:proofErr w:type="gramStart"/>
      <w:r w:rsidRPr="002E236C">
        <w:rPr>
          <w:rFonts w:ascii="Arial" w:eastAsia="Times New Roman" w:hAnsi="Arial" w:cs="Arial"/>
          <w:b/>
          <w:bCs/>
          <w:color w:val="000000"/>
          <w:sz w:val="28"/>
          <w:szCs w:val="28"/>
          <w:lang w:eastAsia="it-IT"/>
        </w:rPr>
        <w:t>Turismo,  nonché</w:t>
      </w:r>
      <w:proofErr w:type="gramEnd"/>
      <w:r w:rsidRPr="002E236C">
        <w:rPr>
          <w:rFonts w:ascii="Arial" w:eastAsia="Times New Roman" w:hAnsi="Arial" w:cs="Arial"/>
          <w:b/>
          <w:bCs/>
          <w:color w:val="000000"/>
          <w:sz w:val="28"/>
          <w:szCs w:val="28"/>
          <w:lang w:eastAsia="it-IT"/>
        </w:rPr>
        <w:t xml:space="preserve"> dispone del personale dipendente  con autonomi atti organizzativi.</w:t>
      </w:r>
    </w:p>
    <w:p w:rsidR="002E236C" w:rsidRDefault="002E236C" w:rsidP="002E236C">
      <w:pPr>
        <w:autoSpaceDE w:val="0"/>
        <w:autoSpaceDN w:val="0"/>
        <w:adjustRightInd w:val="0"/>
        <w:spacing w:after="0" w:line="240" w:lineRule="auto"/>
        <w:rPr>
          <w:rFonts w:ascii="Arial" w:eastAsia="Times New Roman" w:hAnsi="Arial" w:cs="Arial"/>
          <w:b/>
          <w:bCs/>
          <w:color w:val="000000"/>
          <w:sz w:val="28"/>
          <w:szCs w:val="28"/>
          <w:lang w:eastAsia="it-IT"/>
        </w:rPr>
      </w:pPr>
    </w:p>
    <w:p w:rsidR="002E236C" w:rsidRPr="002E236C" w:rsidRDefault="002E236C" w:rsidP="002E236C">
      <w:pPr>
        <w:rPr>
          <w:rFonts w:ascii="Arial" w:eastAsia="Times New Roman" w:hAnsi="Arial" w:cs="Arial"/>
          <w:b/>
          <w:bCs/>
          <w:color w:val="000000"/>
          <w:sz w:val="28"/>
          <w:szCs w:val="28"/>
          <w:lang w:eastAsia="it-IT"/>
        </w:rPr>
      </w:pPr>
      <w:r w:rsidRPr="002E236C">
        <w:rPr>
          <w:rFonts w:ascii="Arial" w:eastAsia="Times New Roman" w:hAnsi="Arial" w:cs="Arial"/>
          <w:b/>
          <w:bCs/>
          <w:color w:val="000000"/>
          <w:sz w:val="28"/>
          <w:szCs w:val="28"/>
          <w:lang w:eastAsia="it-IT"/>
        </w:rPr>
        <w:t xml:space="preserve"> </w:t>
      </w:r>
      <w:r w:rsidRPr="002E236C">
        <w:rPr>
          <w:rFonts w:ascii="Arial" w:eastAsia="Times New Roman" w:hAnsi="Arial" w:cs="Arial"/>
          <w:b/>
          <w:bCs/>
          <w:color w:val="000000"/>
          <w:sz w:val="28"/>
          <w:szCs w:val="28"/>
          <w:lang w:eastAsia="it-IT"/>
        </w:rPr>
        <w:br w:type="page"/>
      </w: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000000"/>
          <w:sz w:val="20"/>
          <w:szCs w:val="20"/>
          <w:lang w:eastAsia="it-IT"/>
        </w:rPr>
      </w:pPr>
      <w:r w:rsidRPr="002E236C">
        <w:rPr>
          <w:rFonts w:ascii="Verdana" w:eastAsia="Times New Roman" w:hAnsi="Verdana" w:cs="Verdana"/>
          <w:noProof/>
          <w:sz w:val="24"/>
          <w:szCs w:val="24"/>
          <w:lang w:eastAsia="it-IT"/>
        </w:rPr>
        <w:lastRenderedPageBreak/>
        <mc:AlternateContent>
          <mc:Choice Requires="wps">
            <w:drawing>
              <wp:anchor distT="0" distB="0" distL="114300" distR="114300" simplePos="0" relativeHeight="251666432" behindDoc="0" locked="1" layoutInCell="1" allowOverlap="1">
                <wp:simplePos x="0" y="0"/>
                <wp:positionH relativeFrom="column">
                  <wp:posOffset>1960245</wp:posOffset>
                </wp:positionH>
                <wp:positionV relativeFrom="paragraph">
                  <wp:posOffset>-71755</wp:posOffset>
                </wp:positionV>
                <wp:extent cx="2628900" cy="704850"/>
                <wp:effectExtent l="13335" t="13970" r="5715" b="5080"/>
                <wp:wrapNone/>
                <wp:docPr id="77" name="Casella di testo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04850"/>
                        </a:xfrm>
                        <a:prstGeom prst="rect">
                          <a:avLst/>
                        </a:prstGeom>
                        <a:solidFill>
                          <a:srgbClr val="FFFFFF"/>
                        </a:solidFill>
                        <a:ln w="9525">
                          <a:solidFill>
                            <a:srgbClr val="000000"/>
                          </a:solidFill>
                          <a:miter lim="800000"/>
                          <a:headEnd/>
                          <a:tailEnd/>
                        </a:ln>
                      </wps:spPr>
                      <wps:txbx>
                        <w:txbxContent>
                          <w:p w:rsidR="001406AD" w:rsidRDefault="001406AD" w:rsidP="002E236C">
                            <w:pPr>
                              <w:jc w:val="center"/>
                              <w:rPr>
                                <w:color w:val="FF0000"/>
                              </w:rPr>
                            </w:pPr>
                            <w:r>
                              <w:rPr>
                                <w:color w:val="FF0000"/>
                              </w:rPr>
                              <w:t>AREA</w:t>
                            </w:r>
                          </w:p>
                          <w:p w:rsidR="001406AD" w:rsidRPr="00D97C3F" w:rsidRDefault="001406AD" w:rsidP="002E236C">
                            <w:pPr>
                              <w:jc w:val="center"/>
                              <w:rPr>
                                <w:color w:val="FF0000"/>
                              </w:rPr>
                            </w:pPr>
                            <w:r>
                              <w:rPr>
                                <w:color w:val="FF0000"/>
                              </w:rPr>
                              <w:t>AFFARI GENERALI</w:t>
                            </w:r>
                          </w:p>
                          <w:p w:rsidR="001406AD" w:rsidRDefault="001406AD" w:rsidP="002E236C">
                            <w:pPr>
                              <w:jc w:val="center"/>
                              <w:rPr>
                                <w:color w:val="FF0000"/>
                              </w:rPr>
                            </w:pPr>
                            <w:r>
                              <w:rPr>
                                <w:color w:val="FF0000"/>
                              </w:rPr>
                              <w:t>ATTIVITA’ PRODUTTIVE</w:t>
                            </w:r>
                          </w:p>
                          <w:p w:rsidR="001406AD" w:rsidRDefault="001406AD" w:rsidP="002E236C">
                            <w:pPr>
                              <w:rPr>
                                <w:color w:val="FF0000"/>
                              </w:rPr>
                            </w:pPr>
                          </w:p>
                          <w:p w:rsidR="001406AD" w:rsidRPr="00F86A33" w:rsidRDefault="001406AD" w:rsidP="002E236C">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77" o:spid="_x0000_s1027" type="#_x0000_t202" style="position:absolute;left:0;text-align:left;margin-left:154.35pt;margin-top:-5.65pt;width:207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">
                <v:textbox>
                  <w:txbxContent>
                    <w:p w:rsidR="001406AD" w:rsidRDefault="001406AD" w:rsidP="002E236C">
                      <w:pPr>
                        <w:jc w:val="center"/>
                        <w:rPr>
                          <w:color w:val="FF0000"/>
                        </w:rPr>
                      </w:pPr>
                      <w:r>
                        <w:rPr>
                          <w:color w:val="FF0000"/>
                        </w:rPr>
                        <w:t>AREA</w:t>
                      </w:r>
                    </w:p>
                    <w:p w:rsidR="001406AD" w:rsidRPr="00D97C3F" w:rsidRDefault="001406AD" w:rsidP="002E236C">
                      <w:pPr>
                        <w:jc w:val="center"/>
                        <w:rPr>
                          <w:color w:val="FF0000"/>
                        </w:rPr>
                      </w:pPr>
                      <w:r>
                        <w:rPr>
                          <w:color w:val="FF0000"/>
                        </w:rPr>
                        <w:t>AFFARI GENERALI</w:t>
                      </w:r>
                    </w:p>
                    <w:p w:rsidR="001406AD" w:rsidRDefault="001406AD" w:rsidP="002E236C">
                      <w:pPr>
                        <w:jc w:val="center"/>
                        <w:rPr>
                          <w:color w:val="FF0000"/>
                        </w:rPr>
                      </w:pPr>
                      <w:r>
                        <w:rPr>
                          <w:color w:val="FF0000"/>
                        </w:rPr>
                        <w:t>ATTIVITA’ PRODUTTIVE</w:t>
                      </w:r>
                    </w:p>
                    <w:p w:rsidR="001406AD" w:rsidRDefault="001406AD" w:rsidP="002E236C">
                      <w:pPr>
                        <w:rPr>
                          <w:color w:val="FF0000"/>
                        </w:rPr>
                      </w:pPr>
                    </w:p>
                    <w:p w:rsidR="001406AD" w:rsidRPr="00F86A33" w:rsidRDefault="001406AD" w:rsidP="002E236C">
                      <w:pPr>
                        <w:rPr>
                          <w:color w:val="FF0000"/>
                        </w:rPr>
                      </w:pPr>
                    </w:p>
                  </w:txbxContent>
                </v:textbox>
                <w10:anchorlock/>
              </v:shape>
            </w:pict>
          </mc:Fallback>
        </mc:AlternateContent>
      </w: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000000"/>
          <w:sz w:val="20"/>
          <w:szCs w:val="20"/>
          <w:lang w:eastAsia="it-IT"/>
        </w:rPr>
      </w:pPr>
      <w:r w:rsidRPr="002E236C">
        <w:rPr>
          <w:rFonts w:ascii="Verdana" w:eastAsia="Times New Roman" w:hAnsi="Verdana" w:cs="Verdana"/>
          <w:color w:val="000000"/>
          <w:sz w:val="20"/>
          <w:szCs w:val="20"/>
          <w:lang w:eastAsia="it-IT"/>
        </w:rPr>
        <w:t xml:space="preserve">                                   </w:t>
      </w: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000000"/>
          <w:sz w:val="20"/>
          <w:szCs w:val="20"/>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0"/>
          <w:szCs w:val="20"/>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000000"/>
          <w:sz w:val="20"/>
          <w:szCs w:val="20"/>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000000"/>
          <w:sz w:val="20"/>
          <w:szCs w:val="20"/>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000000"/>
          <w:sz w:val="20"/>
          <w:szCs w:val="20"/>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65408" behindDoc="0" locked="1" layoutInCell="1" allowOverlap="1">
                <wp:simplePos x="0" y="0"/>
                <wp:positionH relativeFrom="column">
                  <wp:posOffset>1960245</wp:posOffset>
                </wp:positionH>
                <wp:positionV relativeFrom="paragraph">
                  <wp:posOffset>145415</wp:posOffset>
                </wp:positionV>
                <wp:extent cx="1371600" cy="633730"/>
                <wp:effectExtent l="13335" t="13970" r="5715" b="9525"/>
                <wp:wrapNone/>
                <wp:docPr id="76" name="Casella di testo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730"/>
                        </a:xfrm>
                        <a:prstGeom prst="rect">
                          <a:avLst/>
                        </a:prstGeom>
                        <a:solidFill>
                          <a:srgbClr val="FFFFFF"/>
                        </a:solidFill>
                        <a:ln w="9525">
                          <a:solidFill>
                            <a:srgbClr val="000000"/>
                          </a:solidFill>
                          <a:miter lim="800000"/>
                          <a:headEnd/>
                          <a:tailEnd/>
                        </a:ln>
                      </wps:spPr>
                      <wps:txbx>
                        <w:txbxContent>
                          <w:p w:rsidR="001406AD" w:rsidRPr="007045BF" w:rsidRDefault="001406AD" w:rsidP="002E236C">
                            <w:pPr>
                              <w:rPr>
                                <w:color w:val="FF0000"/>
                                <w:sz w:val="20"/>
                                <w:szCs w:val="20"/>
                              </w:rPr>
                            </w:pPr>
                            <w:r w:rsidRPr="007045BF">
                              <w:rPr>
                                <w:color w:val="FF0000"/>
                                <w:sz w:val="20"/>
                                <w:szCs w:val="20"/>
                              </w:rPr>
                              <w:t>SERVIZIO</w:t>
                            </w:r>
                            <w:r>
                              <w:rPr>
                                <w:color w:val="FF0000"/>
                                <w:sz w:val="20"/>
                                <w:szCs w:val="20"/>
                              </w:rPr>
                              <w:t xml:space="preserve"> SISTEMI INFORMATIVI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76" o:spid="_x0000_s1028" type="#_x0000_t202" style="position:absolute;left:0;text-align:left;margin-left:154.35pt;margin-top:11.45pt;width:108pt;height:4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">
                <v:textbox>
                  <w:txbxContent>
                    <w:p w:rsidR="001406AD" w:rsidRPr="007045BF" w:rsidRDefault="001406AD" w:rsidP="002E236C">
                      <w:pPr>
                        <w:rPr>
                          <w:color w:val="FF0000"/>
                          <w:sz w:val="20"/>
                          <w:szCs w:val="20"/>
                        </w:rPr>
                      </w:pPr>
                      <w:r w:rsidRPr="007045BF">
                        <w:rPr>
                          <w:color w:val="FF0000"/>
                          <w:sz w:val="20"/>
                          <w:szCs w:val="20"/>
                        </w:rPr>
                        <w:t>SERVIZIO</w:t>
                      </w:r>
                      <w:r>
                        <w:rPr>
                          <w:color w:val="FF0000"/>
                          <w:sz w:val="20"/>
                          <w:szCs w:val="20"/>
                        </w:rPr>
                        <w:t xml:space="preserve"> SISTEMI INFORMATIVI</w:t>
                      </w:r>
                    </w:p>
                  </w:txbxContent>
                </v:textbox>
                <w10:anchorlock/>
              </v:shape>
            </w:pict>
          </mc:Fallback>
        </mc:AlternateContent>
      </w:r>
    </w:p>
    <w:p w:rsidR="002E236C" w:rsidRPr="002E236C" w:rsidRDefault="002E236C" w:rsidP="002E236C">
      <w:pPr>
        <w:autoSpaceDE w:val="0"/>
        <w:autoSpaceDN w:val="0"/>
        <w:adjustRightInd w:val="0"/>
        <w:spacing w:after="0" w:line="240" w:lineRule="auto"/>
        <w:jc w:val="center"/>
        <w:rPr>
          <w:rFonts w:ascii="Verdana" w:eastAsia="Times New Roman" w:hAnsi="Verdana" w:cs="Verdana"/>
          <w:color w:val="000000"/>
          <w:sz w:val="20"/>
          <w:szCs w:val="20"/>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62336" behindDoc="0" locked="1" layoutInCell="1" allowOverlap="1">
                <wp:simplePos x="0" y="0"/>
                <wp:positionH relativeFrom="column">
                  <wp:posOffset>4375150</wp:posOffset>
                </wp:positionH>
                <wp:positionV relativeFrom="paragraph">
                  <wp:posOffset>26670</wp:posOffset>
                </wp:positionV>
                <wp:extent cx="1014095" cy="649605"/>
                <wp:effectExtent l="8890" t="11430" r="5715" b="5715"/>
                <wp:wrapNone/>
                <wp:docPr id="75" name="Casella di tes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649605"/>
                        </a:xfrm>
                        <a:prstGeom prst="rect">
                          <a:avLst/>
                        </a:prstGeom>
                        <a:solidFill>
                          <a:srgbClr val="FFFFFF"/>
                        </a:solidFill>
                        <a:ln w="9525">
                          <a:solidFill>
                            <a:srgbClr val="000000"/>
                          </a:solidFill>
                          <a:miter lim="800000"/>
                          <a:headEnd/>
                          <a:tailEnd/>
                        </a:ln>
                      </wps:spPr>
                      <wps:txbx>
                        <w:txbxContent>
                          <w:p w:rsidR="001406AD" w:rsidRDefault="001406AD" w:rsidP="002E236C">
                            <w:pPr>
                              <w:rPr>
                                <w:color w:val="FF0000"/>
                                <w:sz w:val="20"/>
                                <w:szCs w:val="20"/>
                              </w:rPr>
                            </w:pPr>
                          </w:p>
                          <w:p w:rsidR="001406AD" w:rsidRDefault="001406AD" w:rsidP="002E236C">
                            <w:pPr>
                              <w:jc w:val="center"/>
                            </w:pPr>
                            <w:r>
                              <w:rPr>
                                <w:color w:val="FF0000"/>
                                <w:sz w:val="20"/>
                                <w:szCs w:val="20"/>
                              </w:rPr>
                              <w:t>SPIC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75" o:spid="_x0000_s1029" type="#_x0000_t202" style="position:absolute;left:0;text-align:left;margin-left:344.5pt;margin-top:2.1pt;width:79.85pt;height:5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">
                <v:textbox>
                  <w:txbxContent>
                    <w:p w:rsidR="001406AD" w:rsidRDefault="001406AD" w:rsidP="002E236C">
                      <w:pPr>
                        <w:rPr>
                          <w:color w:val="FF0000"/>
                          <w:sz w:val="20"/>
                          <w:szCs w:val="20"/>
                        </w:rPr>
                      </w:pPr>
                    </w:p>
                    <w:p w:rsidR="001406AD" w:rsidRDefault="001406AD" w:rsidP="002E236C">
                      <w:pPr>
                        <w:jc w:val="center"/>
                      </w:pPr>
                      <w:r>
                        <w:rPr>
                          <w:color w:val="FF0000"/>
                          <w:sz w:val="20"/>
                          <w:szCs w:val="20"/>
                        </w:rPr>
                        <w:t>SPIC</w:t>
                      </w:r>
                    </w:p>
                  </w:txbxContent>
                </v:textbox>
                <w10:anchorlock/>
              </v:shape>
            </w:pict>
          </mc:Fallback>
        </mc:AlternateContent>
      </w:r>
      <w:r w:rsidRPr="002E236C">
        <w:rPr>
          <w:rFonts w:ascii="Verdana" w:eastAsia="Times New Roman" w:hAnsi="Verdana" w:cs="Verdana"/>
          <w:color w:val="000000"/>
          <w:sz w:val="20"/>
          <w:szCs w:val="20"/>
          <w:lang w:eastAsia="it-IT"/>
        </w:rPr>
        <w:t xml:space="preserve">              </w:t>
      </w: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723776" behindDoc="0" locked="1" layoutInCell="1" allowOverlap="1">
                <wp:simplePos x="0" y="0"/>
                <wp:positionH relativeFrom="column">
                  <wp:posOffset>-20955</wp:posOffset>
                </wp:positionH>
                <wp:positionV relativeFrom="paragraph">
                  <wp:posOffset>-348615</wp:posOffset>
                </wp:positionV>
                <wp:extent cx="1371600" cy="685165"/>
                <wp:effectExtent l="13335" t="13970" r="5715" b="5715"/>
                <wp:wrapNone/>
                <wp:docPr id="74" name="Casella di testo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165"/>
                        </a:xfrm>
                        <a:prstGeom prst="rect">
                          <a:avLst/>
                        </a:prstGeom>
                        <a:solidFill>
                          <a:srgbClr val="FFFFFF"/>
                        </a:solidFill>
                        <a:ln w="9525">
                          <a:solidFill>
                            <a:srgbClr val="000000"/>
                          </a:solidFill>
                          <a:miter lim="800000"/>
                          <a:headEnd/>
                          <a:tailEnd/>
                        </a:ln>
                      </wps:spPr>
                      <wps:txbx>
                        <w:txbxContent>
                          <w:p w:rsidR="001406AD" w:rsidRDefault="001406AD" w:rsidP="002E236C">
                            <w:pPr>
                              <w:jc w:val="both"/>
                              <w:rPr>
                                <w:color w:val="FF0000"/>
                                <w:sz w:val="20"/>
                                <w:szCs w:val="20"/>
                              </w:rPr>
                            </w:pPr>
                            <w:r>
                              <w:rPr>
                                <w:color w:val="FF0000"/>
                                <w:sz w:val="20"/>
                                <w:szCs w:val="20"/>
                              </w:rPr>
                              <w:t>COMUNICAZIONE</w:t>
                            </w:r>
                          </w:p>
                          <w:p w:rsidR="001406AD" w:rsidRDefault="001406AD" w:rsidP="002E236C">
                            <w:pPr>
                              <w:jc w:val="both"/>
                              <w:rPr>
                                <w:color w:val="FF0000"/>
                                <w:sz w:val="20"/>
                                <w:szCs w:val="20"/>
                              </w:rPr>
                            </w:pPr>
                            <w:r>
                              <w:rPr>
                                <w:color w:val="FF0000"/>
                                <w:sz w:val="20"/>
                                <w:szCs w:val="20"/>
                              </w:rPr>
                              <w:t>STAMPA</w:t>
                            </w:r>
                          </w:p>
                          <w:p w:rsidR="001406AD" w:rsidRDefault="001406AD" w:rsidP="002E23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74" o:spid="_x0000_s1030" type="#_x0000_t202" style="position:absolute;left:0;text-align:left;margin-left:-1.65pt;margin-top:-27.45pt;width:108pt;height:53.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">
                <v:textbox>
                  <w:txbxContent>
                    <w:p w:rsidR="001406AD" w:rsidRDefault="001406AD" w:rsidP="002E236C">
                      <w:pPr>
                        <w:jc w:val="both"/>
                        <w:rPr>
                          <w:color w:val="FF0000"/>
                          <w:sz w:val="20"/>
                          <w:szCs w:val="20"/>
                        </w:rPr>
                      </w:pPr>
                      <w:r>
                        <w:rPr>
                          <w:color w:val="FF0000"/>
                          <w:sz w:val="20"/>
                          <w:szCs w:val="20"/>
                        </w:rPr>
                        <w:t>COMUNICAZIONE</w:t>
                      </w:r>
                    </w:p>
                    <w:p w:rsidR="001406AD" w:rsidRDefault="001406AD" w:rsidP="002E236C">
                      <w:pPr>
                        <w:jc w:val="both"/>
                        <w:rPr>
                          <w:color w:val="FF0000"/>
                          <w:sz w:val="20"/>
                          <w:szCs w:val="20"/>
                        </w:rPr>
                      </w:pPr>
                      <w:r>
                        <w:rPr>
                          <w:color w:val="FF0000"/>
                          <w:sz w:val="20"/>
                          <w:szCs w:val="20"/>
                        </w:rPr>
                        <w:t>STAMPA</w:t>
                      </w:r>
                    </w:p>
                    <w:p w:rsidR="001406AD" w:rsidRDefault="001406AD" w:rsidP="002E236C"/>
                  </w:txbxContent>
                </v:textbox>
                <w10:anchorlock/>
              </v:shape>
            </w:pict>
          </mc:Fallback>
        </mc:AlternateContent>
      </w:r>
      <w:r w:rsidRPr="002E236C">
        <w:rPr>
          <w:rFonts w:ascii="Verdana" w:eastAsia="Times New Roman" w:hAnsi="Verdana" w:cs="Verdana"/>
          <w:sz w:val="24"/>
          <w:szCs w:val="24"/>
          <w:lang w:eastAsia="it-IT"/>
        </w:rPr>
        <w:tab/>
      </w:r>
      <w:r w:rsidRPr="002E236C">
        <w:rPr>
          <w:rFonts w:ascii="Verdana" w:eastAsia="Times New Roman" w:hAnsi="Verdana" w:cs="Verdana"/>
          <w:sz w:val="24"/>
          <w:szCs w:val="24"/>
          <w:lang w:eastAsia="it-IT"/>
        </w:rPr>
        <w:tab/>
      </w:r>
      <w:r w:rsidRPr="002E236C">
        <w:rPr>
          <w:rFonts w:ascii="Verdana" w:eastAsia="Times New Roman" w:hAnsi="Verdana" w:cs="Verdana"/>
          <w:sz w:val="24"/>
          <w:szCs w:val="24"/>
          <w:lang w:eastAsia="it-IT"/>
        </w:rPr>
        <w:tab/>
      </w:r>
      <w:r w:rsidRPr="002E236C">
        <w:rPr>
          <w:rFonts w:ascii="Verdana" w:eastAsia="Times New Roman" w:hAnsi="Verdana" w:cs="Verdana"/>
          <w:sz w:val="24"/>
          <w:szCs w:val="24"/>
          <w:lang w:eastAsia="it-IT"/>
        </w:rPr>
        <w:tab/>
      </w:r>
      <w:r w:rsidRPr="002E236C">
        <w:rPr>
          <w:rFonts w:ascii="Verdana" w:eastAsia="Times New Roman" w:hAnsi="Verdana" w:cs="Verdana"/>
          <w:sz w:val="24"/>
          <w:szCs w:val="24"/>
          <w:lang w:eastAsia="it-IT"/>
        </w:rPr>
        <w:tab/>
      </w:r>
      <w:r w:rsidRPr="002E236C">
        <w:rPr>
          <w:rFonts w:ascii="Verdana" w:eastAsia="Times New Roman" w:hAnsi="Verdana" w:cs="Verdana"/>
          <w:sz w:val="24"/>
          <w:szCs w:val="24"/>
          <w:lang w:eastAsia="it-IT"/>
        </w:rPr>
        <w:tab/>
      </w:r>
      <w:r w:rsidRPr="002E236C">
        <w:rPr>
          <w:rFonts w:ascii="Verdana" w:eastAsia="Times New Roman" w:hAnsi="Verdana" w:cs="Verdana"/>
          <w:sz w:val="24"/>
          <w:szCs w:val="24"/>
          <w:lang w:eastAsia="it-IT"/>
        </w:rPr>
        <w:tab/>
      </w:r>
      <w:r w:rsidRPr="002E236C">
        <w:rPr>
          <w:rFonts w:ascii="Verdana" w:eastAsia="Times New Roman" w:hAnsi="Verdana" w:cs="Verdana"/>
          <w:sz w:val="24"/>
          <w:szCs w:val="24"/>
          <w:lang w:eastAsia="it-IT"/>
        </w:rPr>
        <w:tab/>
      </w:r>
      <w:r w:rsidRPr="002E236C">
        <w:rPr>
          <w:rFonts w:ascii="Verdana" w:eastAsia="Times New Roman" w:hAnsi="Verdana" w:cs="Verdana"/>
          <w:sz w:val="24"/>
          <w:szCs w:val="24"/>
          <w:lang w:eastAsia="it-IT"/>
        </w:rPr>
        <w:tab/>
      </w:r>
      <w:r w:rsidRPr="002E236C">
        <w:rPr>
          <w:rFonts w:ascii="Verdana" w:eastAsia="Times New Roman" w:hAnsi="Verdana" w:cs="Verdana"/>
          <w:sz w:val="24"/>
          <w:szCs w:val="24"/>
          <w:lang w:eastAsia="it-IT"/>
        </w:rPr>
        <w:tab/>
      </w:r>
      <w:r w:rsidRPr="002E236C">
        <w:rPr>
          <w:rFonts w:ascii="Verdana" w:eastAsia="Times New Roman" w:hAnsi="Verdana" w:cs="Verdana"/>
          <w:sz w:val="24"/>
          <w:szCs w:val="24"/>
          <w:lang w:eastAsia="it-IT"/>
        </w:rPr>
        <w:tab/>
      </w: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0"/>
          <w:szCs w:val="20"/>
          <w:lang w:eastAsia="it-IT"/>
        </w:rPr>
      </w:pPr>
      <w:r w:rsidRPr="002E236C">
        <w:rPr>
          <w:rFonts w:ascii="Verdana" w:eastAsia="Times New Roman" w:hAnsi="Verdana" w:cs="Verdana"/>
          <w:sz w:val="24"/>
          <w:szCs w:val="24"/>
          <w:lang w:eastAsia="it-IT"/>
        </w:rPr>
        <w:tab/>
      </w:r>
      <w:r w:rsidRPr="002E236C">
        <w:rPr>
          <w:rFonts w:ascii="Verdana" w:eastAsia="Times New Roman" w:hAnsi="Verdana" w:cs="Verdana"/>
          <w:sz w:val="24"/>
          <w:szCs w:val="24"/>
          <w:lang w:eastAsia="it-IT"/>
        </w:rPr>
        <w:tab/>
      </w:r>
      <w:r w:rsidRPr="002E236C">
        <w:rPr>
          <w:rFonts w:ascii="Verdana" w:eastAsia="Times New Roman" w:hAnsi="Verdana" w:cs="Verdana"/>
          <w:sz w:val="24"/>
          <w:szCs w:val="24"/>
          <w:lang w:eastAsia="it-IT"/>
        </w:rPr>
        <w:tab/>
      </w:r>
      <w:r w:rsidRPr="002E236C">
        <w:rPr>
          <w:rFonts w:ascii="Verdana" w:eastAsia="Times New Roman" w:hAnsi="Verdana" w:cs="Verdana"/>
          <w:sz w:val="24"/>
          <w:szCs w:val="24"/>
          <w:lang w:eastAsia="it-IT"/>
        </w:rPr>
        <w:tab/>
      </w:r>
      <w:r w:rsidRPr="002E236C">
        <w:rPr>
          <w:rFonts w:ascii="Verdana" w:eastAsia="Times New Roman" w:hAnsi="Verdana" w:cs="Verdana"/>
          <w:sz w:val="24"/>
          <w:szCs w:val="24"/>
          <w:lang w:eastAsia="it-IT"/>
        </w:rPr>
        <w:tab/>
      </w:r>
      <w:r w:rsidRPr="002E236C">
        <w:rPr>
          <w:rFonts w:ascii="Verdana" w:eastAsia="Times New Roman" w:hAnsi="Verdana" w:cs="Verdana"/>
          <w:sz w:val="24"/>
          <w:szCs w:val="24"/>
          <w:lang w:eastAsia="it-IT"/>
        </w:rPr>
        <w:tab/>
      </w:r>
      <w:r w:rsidRPr="002E236C">
        <w:rPr>
          <w:rFonts w:ascii="Verdana" w:eastAsia="Times New Roman" w:hAnsi="Verdana" w:cs="Verdana"/>
          <w:sz w:val="24"/>
          <w:szCs w:val="24"/>
          <w:lang w:eastAsia="it-IT"/>
        </w:rPr>
        <w:tab/>
      </w: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0"/>
          <w:szCs w:val="20"/>
          <w:lang w:eastAsia="it-IT"/>
        </w:rPr>
      </w:pPr>
      <w:r w:rsidRPr="002E236C">
        <w:rPr>
          <w:rFonts w:ascii="Verdana" w:eastAsia="Times New Roman" w:hAnsi="Verdana" w:cs="Verdana"/>
          <w:sz w:val="20"/>
          <w:szCs w:val="20"/>
          <w:lang w:eastAsia="it-IT"/>
        </w:rPr>
        <w:tab/>
      </w:r>
      <w:r w:rsidRPr="002E236C">
        <w:rPr>
          <w:rFonts w:ascii="Verdana" w:eastAsia="Times New Roman" w:hAnsi="Verdana" w:cs="Verdana"/>
          <w:sz w:val="20"/>
          <w:szCs w:val="20"/>
          <w:lang w:eastAsia="it-IT"/>
        </w:rPr>
        <w:tab/>
      </w:r>
      <w:r w:rsidRPr="002E236C">
        <w:rPr>
          <w:rFonts w:ascii="Verdana" w:eastAsia="Times New Roman" w:hAnsi="Verdana" w:cs="Verdana"/>
          <w:sz w:val="20"/>
          <w:szCs w:val="20"/>
          <w:lang w:eastAsia="it-IT"/>
        </w:rPr>
        <w:tab/>
      </w:r>
      <w:r w:rsidRPr="002E236C">
        <w:rPr>
          <w:rFonts w:ascii="Verdana" w:eastAsia="Times New Roman" w:hAnsi="Verdana" w:cs="Verdana"/>
          <w:sz w:val="20"/>
          <w:szCs w:val="20"/>
          <w:lang w:eastAsia="it-IT"/>
        </w:rPr>
        <w:tab/>
      </w:r>
      <w:r w:rsidRPr="002E236C">
        <w:rPr>
          <w:rFonts w:ascii="Verdana" w:eastAsia="Times New Roman" w:hAnsi="Verdana" w:cs="Verdana"/>
          <w:sz w:val="20"/>
          <w:szCs w:val="20"/>
          <w:lang w:eastAsia="it-IT"/>
        </w:rPr>
        <w:tab/>
      </w:r>
      <w:r w:rsidRPr="002E236C">
        <w:rPr>
          <w:rFonts w:ascii="Verdana" w:eastAsia="Times New Roman" w:hAnsi="Verdana" w:cs="Verdana"/>
          <w:sz w:val="20"/>
          <w:szCs w:val="20"/>
          <w:lang w:eastAsia="it-IT"/>
        </w:rPr>
        <w:tab/>
      </w:r>
      <w:r w:rsidRPr="002E236C">
        <w:rPr>
          <w:rFonts w:ascii="Verdana" w:eastAsia="Times New Roman" w:hAnsi="Verdana" w:cs="Verdana"/>
          <w:sz w:val="20"/>
          <w:szCs w:val="20"/>
          <w:lang w:eastAsia="it-IT"/>
        </w:rPr>
        <w:tab/>
        <w:t xml:space="preserve">  </w:t>
      </w:r>
      <w:r w:rsidRPr="002E236C">
        <w:rPr>
          <w:rFonts w:ascii="Verdana" w:eastAsia="Times New Roman" w:hAnsi="Verdana" w:cs="Verdana"/>
          <w:sz w:val="20"/>
          <w:szCs w:val="20"/>
          <w:lang w:eastAsia="it-IT"/>
        </w:rPr>
        <w:tab/>
      </w:r>
      <w:r w:rsidRPr="002E236C">
        <w:rPr>
          <w:rFonts w:ascii="Verdana" w:eastAsia="Times New Roman" w:hAnsi="Verdana" w:cs="Verdana"/>
          <w:sz w:val="20"/>
          <w:szCs w:val="20"/>
          <w:lang w:eastAsia="it-IT"/>
        </w:rPr>
        <w:tab/>
      </w:r>
      <w:r w:rsidRPr="002E236C">
        <w:rPr>
          <w:rFonts w:ascii="Verdana" w:eastAsia="Times New Roman" w:hAnsi="Verdana" w:cs="Verdana"/>
          <w:sz w:val="20"/>
          <w:szCs w:val="20"/>
          <w:lang w:eastAsia="it-IT"/>
        </w:rPr>
        <w:tab/>
        <w:t xml:space="preserve">             </w:t>
      </w:r>
      <w:r w:rsidRPr="002E236C">
        <w:rPr>
          <w:rFonts w:ascii="Verdana" w:eastAsia="Times New Roman" w:hAnsi="Verdana" w:cs="Verdana"/>
          <w:sz w:val="20"/>
          <w:szCs w:val="20"/>
          <w:lang w:eastAsia="it-IT"/>
        </w:rPr>
        <w:tab/>
      </w:r>
      <w:r w:rsidRPr="002E236C">
        <w:rPr>
          <w:rFonts w:ascii="Verdana" w:eastAsia="Times New Roman" w:hAnsi="Verdana" w:cs="Verdana"/>
          <w:sz w:val="20"/>
          <w:szCs w:val="20"/>
          <w:lang w:eastAsia="it-IT"/>
        </w:rPr>
        <w:tab/>
      </w:r>
      <w:r w:rsidRPr="002E236C">
        <w:rPr>
          <w:rFonts w:ascii="Verdana" w:eastAsia="Times New Roman" w:hAnsi="Verdana" w:cs="Verdana"/>
          <w:sz w:val="20"/>
          <w:szCs w:val="20"/>
          <w:lang w:eastAsia="it-IT"/>
        </w:rPr>
        <w:tab/>
      </w:r>
      <w:r w:rsidRPr="002E236C">
        <w:rPr>
          <w:rFonts w:ascii="Verdana" w:eastAsia="Times New Roman" w:hAnsi="Verdana" w:cs="Verdana"/>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0"/>
          <w:szCs w:val="20"/>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61312" behindDoc="0" locked="1" layoutInCell="1" allowOverlap="1">
                <wp:simplePos x="0" y="0"/>
                <wp:positionH relativeFrom="column">
                  <wp:posOffset>2798445</wp:posOffset>
                </wp:positionH>
                <wp:positionV relativeFrom="paragraph">
                  <wp:posOffset>49530</wp:posOffset>
                </wp:positionV>
                <wp:extent cx="0" cy="1295400"/>
                <wp:effectExtent l="13335" t="6350" r="5715" b="12700"/>
                <wp:wrapNone/>
                <wp:docPr id="73" name="Connettore 1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74DDA" id="Connettore 1 7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35pt,3.9pt" to="220.35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">
                <w10:anchorlock/>
              </v:line>
            </w:pict>
          </mc:Fallback>
        </mc:AlternateContent>
      </w:r>
      <w:r w:rsidRPr="002E236C">
        <w:rPr>
          <w:rFonts w:ascii="Verdana" w:eastAsia="Times New Roman" w:hAnsi="Verdana" w:cs="Verdana"/>
          <w:color w:val="FF0000"/>
          <w:sz w:val="20"/>
          <w:szCs w:val="20"/>
          <w:lang w:eastAsia="it-IT"/>
        </w:rPr>
        <w:t xml:space="preserve">      </w:t>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t xml:space="preserve">     </w:t>
      </w:r>
    </w:p>
    <w:p w:rsidR="002E236C" w:rsidRPr="002E236C" w:rsidRDefault="002E236C" w:rsidP="002E236C">
      <w:pPr>
        <w:autoSpaceDE w:val="0"/>
        <w:autoSpaceDN w:val="0"/>
        <w:adjustRightInd w:val="0"/>
        <w:spacing w:after="0" w:line="240" w:lineRule="auto"/>
        <w:ind w:left="4248"/>
        <w:jc w:val="both"/>
        <w:rPr>
          <w:rFonts w:ascii="Arial" w:eastAsia="Times New Roman" w:hAnsi="Arial" w:cs="Arial"/>
          <w:sz w:val="24"/>
          <w:szCs w:val="24"/>
          <w:lang w:eastAsia="it-IT"/>
        </w:rPr>
      </w:pPr>
      <w:r w:rsidRPr="002E236C">
        <w:rPr>
          <w:rFonts w:ascii="Verdana" w:eastAsia="Times New Roman" w:hAnsi="Verdana" w:cs="Verdana"/>
          <w:color w:val="FF0000"/>
          <w:sz w:val="20"/>
          <w:szCs w:val="20"/>
          <w:lang w:eastAsia="it-IT"/>
        </w:rPr>
        <w:t xml:space="preserve">     </w:t>
      </w:r>
      <w:r w:rsidRPr="002E236C">
        <w:rPr>
          <w:rFonts w:ascii="Arial" w:eastAsia="Times New Roman" w:hAnsi="Arial" w:cs="Arial"/>
          <w:sz w:val="24"/>
          <w:szCs w:val="24"/>
          <w:lang w:eastAsia="it-IT"/>
        </w:rPr>
        <w:t>Protocollo/Archivio</w:t>
      </w:r>
      <w:r w:rsidRPr="002E236C">
        <w:rPr>
          <w:rFonts w:ascii="Arial" w:eastAsia="Times New Roman" w:hAnsi="Arial" w:cs="Arial"/>
          <w:sz w:val="24"/>
          <w:szCs w:val="24"/>
          <w:lang w:eastAsia="it-IT"/>
        </w:rPr>
        <w:tab/>
        <w:t xml:space="preserve"> </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color w:val="FF0000"/>
          <w:sz w:val="24"/>
          <w:szCs w:val="24"/>
          <w:lang w:eastAsia="it-IT"/>
        </w:rPr>
        <w:t xml:space="preserve">                                                                     </w:t>
      </w:r>
      <w:r w:rsidRPr="002E236C">
        <w:rPr>
          <w:rFonts w:ascii="Arial" w:eastAsia="Times New Roman" w:hAnsi="Arial" w:cs="Arial"/>
          <w:sz w:val="24"/>
          <w:szCs w:val="24"/>
          <w:lang w:eastAsia="it-IT"/>
        </w:rPr>
        <w:t>Notifiche/Albo Pretorio</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84864" behindDoc="0" locked="1" layoutInCell="1" allowOverlap="1">
                <wp:simplePos x="0" y="0"/>
                <wp:positionH relativeFrom="column">
                  <wp:posOffset>-20955</wp:posOffset>
                </wp:positionH>
                <wp:positionV relativeFrom="paragraph">
                  <wp:posOffset>43815</wp:posOffset>
                </wp:positionV>
                <wp:extent cx="1676400" cy="633730"/>
                <wp:effectExtent l="13335" t="10160" r="5715" b="13335"/>
                <wp:wrapNone/>
                <wp:docPr id="72" name="Casella di testo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33730"/>
                        </a:xfrm>
                        <a:prstGeom prst="rect">
                          <a:avLst/>
                        </a:prstGeom>
                        <a:solidFill>
                          <a:srgbClr val="FFFFFF"/>
                        </a:solidFill>
                        <a:ln w="9525">
                          <a:solidFill>
                            <a:srgbClr val="000000"/>
                          </a:solidFill>
                          <a:miter lim="800000"/>
                          <a:headEnd/>
                          <a:tailEnd/>
                        </a:ln>
                      </wps:spPr>
                      <wps:txbx>
                        <w:txbxContent>
                          <w:p w:rsidR="001406AD" w:rsidRPr="007045BF" w:rsidRDefault="001406AD" w:rsidP="002E236C">
                            <w:pPr>
                              <w:rPr>
                                <w:color w:val="FF0000"/>
                                <w:sz w:val="20"/>
                                <w:szCs w:val="20"/>
                              </w:rPr>
                            </w:pPr>
                            <w:r>
                              <w:rPr>
                                <w:color w:val="FF0000"/>
                                <w:sz w:val="20"/>
                                <w:szCs w:val="20"/>
                              </w:rPr>
                              <w:t>AFFARI GENERALI URP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72" o:spid="_x0000_s1031" type="#_x0000_t202" style="position:absolute;left:0;text-align:left;margin-left:-1.65pt;margin-top:3.45pt;width:132pt;height:4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">
                <v:textbox>
                  <w:txbxContent>
                    <w:p w:rsidR="001406AD" w:rsidRPr="007045BF" w:rsidRDefault="001406AD" w:rsidP="002E236C">
                      <w:pPr>
                        <w:rPr>
                          <w:color w:val="FF0000"/>
                          <w:sz w:val="20"/>
                          <w:szCs w:val="20"/>
                        </w:rPr>
                      </w:pPr>
                      <w:r>
                        <w:rPr>
                          <w:color w:val="FF0000"/>
                          <w:sz w:val="20"/>
                          <w:szCs w:val="20"/>
                        </w:rPr>
                        <w:t>AFFARI GENERALI URP</w:t>
                      </w:r>
                    </w:p>
                  </w:txbxContent>
                </v:textbox>
                <w10:anchorlock/>
              </v:shape>
            </w:pict>
          </mc:Fallback>
        </mc:AlternateContent>
      </w:r>
      <w:r w:rsidRPr="002E236C">
        <w:rPr>
          <w:rFonts w:ascii="Arial" w:eastAsia="Times New Roman" w:hAnsi="Arial" w:cs="Arial"/>
          <w:color w:val="FF0000"/>
          <w:sz w:val="24"/>
          <w:szCs w:val="24"/>
          <w:lang w:eastAsia="it-IT"/>
        </w:rPr>
        <w:t xml:space="preserve">      </w:t>
      </w:r>
      <w:r w:rsidRPr="002E236C">
        <w:rPr>
          <w:rFonts w:ascii="Arial" w:eastAsia="Times New Roman" w:hAnsi="Arial" w:cs="Arial"/>
          <w:color w:val="FF0000"/>
          <w:sz w:val="24"/>
          <w:szCs w:val="24"/>
          <w:lang w:eastAsia="it-IT"/>
        </w:rPr>
        <w:tab/>
      </w:r>
      <w:r w:rsidRPr="002E236C">
        <w:rPr>
          <w:rFonts w:ascii="Arial" w:eastAsia="Times New Roman" w:hAnsi="Arial" w:cs="Arial"/>
          <w:color w:val="FF0000"/>
          <w:sz w:val="24"/>
          <w:szCs w:val="24"/>
          <w:lang w:eastAsia="it-IT"/>
        </w:rPr>
        <w:tab/>
      </w:r>
      <w:r w:rsidRPr="002E236C">
        <w:rPr>
          <w:rFonts w:ascii="Arial" w:eastAsia="Times New Roman" w:hAnsi="Arial" w:cs="Arial"/>
          <w:color w:val="FF0000"/>
          <w:sz w:val="24"/>
          <w:szCs w:val="24"/>
          <w:lang w:eastAsia="it-IT"/>
        </w:rPr>
        <w:tab/>
      </w:r>
      <w:r w:rsidRPr="002E236C">
        <w:rPr>
          <w:rFonts w:ascii="Arial" w:eastAsia="Times New Roman" w:hAnsi="Arial" w:cs="Arial"/>
          <w:color w:val="FF0000"/>
          <w:sz w:val="24"/>
          <w:szCs w:val="24"/>
          <w:lang w:eastAsia="it-IT"/>
        </w:rPr>
        <w:tab/>
      </w:r>
      <w:r w:rsidRPr="002E236C">
        <w:rPr>
          <w:rFonts w:ascii="Arial" w:eastAsia="Times New Roman" w:hAnsi="Arial" w:cs="Arial"/>
          <w:color w:val="FF0000"/>
          <w:sz w:val="24"/>
          <w:szCs w:val="24"/>
          <w:lang w:eastAsia="it-IT"/>
        </w:rPr>
        <w:tab/>
        <w:t xml:space="preserve">               </w:t>
      </w:r>
      <w:r w:rsidRPr="002E236C">
        <w:rPr>
          <w:rFonts w:ascii="Arial" w:eastAsia="Times New Roman" w:hAnsi="Arial" w:cs="Arial"/>
          <w:sz w:val="24"/>
          <w:szCs w:val="24"/>
          <w:lang w:eastAsia="it-IT"/>
        </w:rPr>
        <w:t xml:space="preserve">Centralino/Accoglienza         </w:t>
      </w:r>
    </w:p>
    <w:p w:rsidR="002E236C" w:rsidRPr="002E236C" w:rsidRDefault="002E236C" w:rsidP="002E236C">
      <w:pPr>
        <w:autoSpaceDE w:val="0"/>
        <w:autoSpaceDN w:val="0"/>
        <w:adjustRightInd w:val="0"/>
        <w:spacing w:after="0" w:line="240" w:lineRule="auto"/>
        <w:rPr>
          <w:rFonts w:ascii="Arial" w:eastAsia="Times New Roman" w:hAnsi="Arial" w:cs="Arial"/>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85888" behindDoc="0" locked="1" layoutInCell="1" allowOverlap="1">
                <wp:simplePos x="0" y="0"/>
                <wp:positionH relativeFrom="column">
                  <wp:posOffset>1731645</wp:posOffset>
                </wp:positionH>
                <wp:positionV relativeFrom="paragraph">
                  <wp:posOffset>118110</wp:posOffset>
                </wp:positionV>
                <wp:extent cx="990600" cy="0"/>
                <wp:effectExtent l="13335" t="59690" r="15240" b="54610"/>
                <wp:wrapNone/>
                <wp:docPr id="71" name="Connettore 1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C4AD4" id="Connettore 1 7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5pt,9.3pt" to="214.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">
                <v:stroke endarrow="block"/>
                <w10:anchorlock/>
              </v:line>
            </w:pict>
          </mc:Fallback>
        </mc:AlternateContent>
      </w:r>
      <w:r w:rsidRPr="002E236C">
        <w:rPr>
          <w:rFonts w:ascii="Arial" w:eastAsia="Times New Roman" w:hAnsi="Arial" w:cs="Arial"/>
          <w:color w:val="FF0000"/>
          <w:sz w:val="24"/>
          <w:szCs w:val="24"/>
          <w:lang w:eastAsia="it-IT"/>
        </w:rPr>
        <w:t xml:space="preserve">  </w:t>
      </w:r>
      <w:r w:rsidRPr="002E236C">
        <w:rPr>
          <w:rFonts w:ascii="Arial" w:eastAsia="Times New Roman" w:hAnsi="Arial" w:cs="Arial"/>
          <w:color w:val="FF0000"/>
          <w:sz w:val="24"/>
          <w:szCs w:val="24"/>
          <w:lang w:eastAsia="it-IT"/>
        </w:rPr>
        <w:tab/>
      </w:r>
      <w:r w:rsidRPr="002E236C">
        <w:rPr>
          <w:rFonts w:ascii="Arial" w:eastAsia="Times New Roman" w:hAnsi="Arial" w:cs="Arial"/>
          <w:color w:val="FF0000"/>
          <w:sz w:val="24"/>
          <w:szCs w:val="24"/>
          <w:lang w:eastAsia="it-IT"/>
        </w:rPr>
        <w:tab/>
      </w:r>
      <w:r w:rsidRPr="002E236C">
        <w:rPr>
          <w:rFonts w:ascii="Arial" w:eastAsia="Times New Roman" w:hAnsi="Arial" w:cs="Arial"/>
          <w:color w:val="FF0000"/>
          <w:sz w:val="24"/>
          <w:szCs w:val="24"/>
          <w:lang w:eastAsia="it-IT"/>
        </w:rPr>
        <w:tab/>
      </w:r>
      <w:r w:rsidRPr="002E236C">
        <w:rPr>
          <w:rFonts w:ascii="Arial" w:eastAsia="Times New Roman" w:hAnsi="Arial" w:cs="Arial"/>
          <w:color w:val="FF0000"/>
          <w:sz w:val="24"/>
          <w:szCs w:val="24"/>
          <w:lang w:eastAsia="it-IT"/>
        </w:rPr>
        <w:tab/>
      </w:r>
      <w:r w:rsidRPr="002E236C">
        <w:rPr>
          <w:rFonts w:ascii="Arial" w:eastAsia="Times New Roman" w:hAnsi="Arial" w:cs="Arial"/>
          <w:color w:val="FF0000"/>
          <w:sz w:val="24"/>
          <w:szCs w:val="24"/>
          <w:lang w:eastAsia="it-IT"/>
        </w:rPr>
        <w:tab/>
        <w:t xml:space="preserve">                </w:t>
      </w:r>
      <w:r w:rsidRPr="002E236C">
        <w:rPr>
          <w:rFonts w:ascii="Arial" w:eastAsia="Times New Roman" w:hAnsi="Arial" w:cs="Arial"/>
          <w:sz w:val="24"/>
          <w:szCs w:val="24"/>
          <w:lang w:eastAsia="it-IT"/>
        </w:rPr>
        <w:t xml:space="preserve">Ufficio Relazioni con il Pubblico         </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color w:val="FF0000"/>
          <w:sz w:val="24"/>
          <w:szCs w:val="24"/>
          <w:lang w:eastAsia="it-IT"/>
        </w:rPr>
        <w:tab/>
      </w:r>
      <w:r w:rsidRPr="002E236C">
        <w:rPr>
          <w:rFonts w:ascii="Arial" w:eastAsia="Times New Roman" w:hAnsi="Arial" w:cs="Arial"/>
          <w:color w:val="FF0000"/>
          <w:sz w:val="24"/>
          <w:szCs w:val="24"/>
          <w:lang w:eastAsia="it-IT"/>
        </w:rPr>
        <w:tab/>
      </w:r>
      <w:r w:rsidRPr="002E236C">
        <w:rPr>
          <w:rFonts w:ascii="Arial" w:eastAsia="Times New Roman" w:hAnsi="Arial" w:cs="Arial"/>
          <w:color w:val="FF0000"/>
          <w:sz w:val="24"/>
          <w:szCs w:val="24"/>
          <w:lang w:eastAsia="it-IT"/>
        </w:rPr>
        <w:tab/>
      </w:r>
      <w:r w:rsidRPr="002E236C">
        <w:rPr>
          <w:rFonts w:ascii="Arial" w:eastAsia="Times New Roman" w:hAnsi="Arial" w:cs="Arial"/>
          <w:color w:val="FF0000"/>
          <w:sz w:val="24"/>
          <w:szCs w:val="24"/>
          <w:lang w:eastAsia="it-IT"/>
        </w:rPr>
        <w:tab/>
      </w:r>
      <w:r w:rsidRPr="002E236C">
        <w:rPr>
          <w:rFonts w:ascii="Arial" w:eastAsia="Times New Roman" w:hAnsi="Arial" w:cs="Arial"/>
          <w:color w:val="FF0000"/>
          <w:sz w:val="24"/>
          <w:szCs w:val="24"/>
          <w:lang w:eastAsia="it-IT"/>
        </w:rPr>
        <w:tab/>
      </w:r>
      <w:r w:rsidRPr="002E236C">
        <w:rPr>
          <w:rFonts w:ascii="Arial" w:eastAsia="Times New Roman" w:hAnsi="Arial" w:cs="Arial"/>
          <w:color w:val="FF0000"/>
          <w:sz w:val="24"/>
          <w:szCs w:val="24"/>
          <w:lang w:eastAsia="it-IT"/>
        </w:rPr>
        <w:tab/>
        <w:t xml:space="preserve">     </w:t>
      </w:r>
      <w:r w:rsidRPr="002E236C">
        <w:rPr>
          <w:rFonts w:ascii="Arial" w:eastAsia="Times New Roman" w:hAnsi="Arial" w:cs="Arial"/>
          <w:sz w:val="24"/>
          <w:szCs w:val="24"/>
          <w:lang w:eastAsia="it-IT"/>
        </w:rPr>
        <w:t>Sportello per il Cittadino</w:t>
      </w:r>
    </w:p>
    <w:p w:rsidR="002E236C" w:rsidRPr="002E236C" w:rsidRDefault="002E236C" w:rsidP="002E236C">
      <w:pPr>
        <w:autoSpaceDE w:val="0"/>
        <w:autoSpaceDN w:val="0"/>
        <w:adjustRightInd w:val="0"/>
        <w:spacing w:after="0" w:line="240" w:lineRule="auto"/>
        <w:jc w:val="both"/>
        <w:rPr>
          <w:rFonts w:ascii="Arial" w:eastAsia="Times New Roman" w:hAnsi="Arial" w:cs="Arial"/>
          <w:color w:val="FF0000"/>
          <w:sz w:val="24"/>
          <w:szCs w:val="24"/>
          <w:lang w:eastAsia="it-IT"/>
        </w:rPr>
      </w:pPr>
      <w:r w:rsidRPr="002E236C">
        <w:rPr>
          <w:rFonts w:ascii="Arial" w:eastAsia="Times New Roman" w:hAnsi="Arial" w:cs="Arial"/>
          <w:sz w:val="24"/>
          <w:szCs w:val="24"/>
          <w:lang w:eastAsia="it-IT"/>
        </w:rPr>
        <w:t xml:space="preserve">                                                                     Segreteria sociale *    </w:t>
      </w:r>
    </w:p>
    <w:p w:rsidR="002E236C" w:rsidRPr="002E236C" w:rsidRDefault="002E236C" w:rsidP="002E236C">
      <w:pPr>
        <w:autoSpaceDE w:val="0"/>
        <w:autoSpaceDN w:val="0"/>
        <w:adjustRightInd w:val="0"/>
        <w:spacing w:after="0" w:line="240" w:lineRule="auto"/>
        <w:jc w:val="both"/>
        <w:rPr>
          <w:rFonts w:ascii="Arial" w:eastAsia="Times New Roman" w:hAnsi="Arial" w:cs="Arial"/>
          <w:color w:val="FF0000"/>
          <w:sz w:val="24"/>
          <w:szCs w:val="24"/>
          <w:lang w:eastAsia="it-IT"/>
        </w:rPr>
      </w:pPr>
      <w:r w:rsidRPr="002E236C">
        <w:rPr>
          <w:rFonts w:ascii="Arial" w:eastAsia="Times New Roman" w:hAnsi="Arial" w:cs="Arial"/>
          <w:sz w:val="24"/>
          <w:szCs w:val="24"/>
          <w:lang w:eastAsia="it-IT"/>
        </w:rPr>
        <w:t xml:space="preserve">                                                                     Ascolto Urbanistica *   </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color w:val="FF0000"/>
          <w:sz w:val="24"/>
          <w:szCs w:val="24"/>
          <w:lang w:eastAsia="it-IT"/>
        </w:rPr>
        <w:tab/>
      </w:r>
      <w:r w:rsidRPr="002E236C">
        <w:rPr>
          <w:rFonts w:ascii="Arial" w:eastAsia="Times New Roman" w:hAnsi="Arial" w:cs="Arial"/>
          <w:color w:val="FF0000"/>
          <w:sz w:val="24"/>
          <w:szCs w:val="24"/>
          <w:lang w:eastAsia="it-IT"/>
        </w:rPr>
        <w:tab/>
      </w:r>
      <w:r w:rsidRPr="002E236C">
        <w:rPr>
          <w:rFonts w:ascii="Arial" w:eastAsia="Times New Roman" w:hAnsi="Arial" w:cs="Arial"/>
          <w:color w:val="FF0000"/>
          <w:sz w:val="24"/>
          <w:szCs w:val="24"/>
          <w:lang w:eastAsia="it-IT"/>
        </w:rPr>
        <w:tab/>
      </w:r>
      <w:r w:rsidRPr="002E236C">
        <w:rPr>
          <w:rFonts w:ascii="Arial" w:eastAsia="Times New Roman" w:hAnsi="Arial" w:cs="Arial"/>
          <w:color w:val="FF0000"/>
          <w:sz w:val="24"/>
          <w:szCs w:val="24"/>
          <w:lang w:eastAsia="it-IT"/>
        </w:rPr>
        <w:tab/>
      </w:r>
      <w:r w:rsidRPr="002E236C">
        <w:rPr>
          <w:rFonts w:ascii="Arial" w:eastAsia="Times New Roman" w:hAnsi="Arial" w:cs="Arial"/>
          <w:color w:val="FF0000"/>
          <w:sz w:val="24"/>
          <w:szCs w:val="24"/>
          <w:lang w:eastAsia="it-IT"/>
        </w:rPr>
        <w:tab/>
      </w:r>
      <w:r w:rsidRPr="002E236C">
        <w:rPr>
          <w:rFonts w:ascii="Arial" w:eastAsia="Times New Roman" w:hAnsi="Arial" w:cs="Arial"/>
          <w:color w:val="FF0000"/>
          <w:sz w:val="24"/>
          <w:szCs w:val="24"/>
          <w:lang w:eastAsia="it-IT"/>
        </w:rPr>
        <w:tab/>
      </w:r>
      <w:r w:rsidRPr="002E236C">
        <w:rPr>
          <w:rFonts w:ascii="Arial" w:eastAsia="Times New Roman" w:hAnsi="Arial" w:cs="Arial"/>
          <w:color w:val="FF0000"/>
          <w:sz w:val="24"/>
          <w:szCs w:val="24"/>
          <w:lang w:eastAsia="it-IT"/>
        </w:rPr>
        <w:tab/>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p>
    <w:p w:rsidR="002E236C" w:rsidRPr="002E236C" w:rsidRDefault="002E236C" w:rsidP="002E236C">
      <w:pPr>
        <w:autoSpaceDE w:val="0"/>
        <w:autoSpaceDN w:val="0"/>
        <w:adjustRightInd w:val="0"/>
        <w:spacing w:after="0" w:line="240" w:lineRule="auto"/>
        <w:jc w:val="both"/>
        <w:rPr>
          <w:rFonts w:ascii="Arial" w:eastAsia="Times New Roman" w:hAnsi="Arial" w:cs="Arial"/>
          <w:b/>
          <w:bCs/>
          <w:sz w:val="24"/>
          <w:szCs w:val="24"/>
          <w:lang w:eastAsia="it-IT"/>
        </w:rPr>
      </w:pPr>
      <w:r w:rsidRPr="002E236C">
        <w:rPr>
          <w:rFonts w:ascii="Arial" w:eastAsia="Times New Roman" w:hAnsi="Arial" w:cs="Arial"/>
          <w:sz w:val="24"/>
          <w:szCs w:val="24"/>
          <w:lang w:eastAsia="it-IT"/>
        </w:rPr>
        <w:t>* due presenze settimanali presso SPIC</w:t>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b/>
          <w:bCs/>
          <w:sz w:val="24"/>
          <w:szCs w:val="24"/>
          <w:lang w:eastAsia="it-IT"/>
        </w:rPr>
        <w:tab/>
      </w:r>
      <w:r w:rsidRPr="002E236C">
        <w:rPr>
          <w:rFonts w:ascii="Arial" w:eastAsia="Times New Roman" w:hAnsi="Arial" w:cs="Arial"/>
          <w:b/>
          <w:bCs/>
          <w:sz w:val="24"/>
          <w:szCs w:val="24"/>
          <w:lang w:eastAsia="it-IT"/>
        </w:rPr>
        <w:tab/>
      </w:r>
      <w:r w:rsidRPr="002E236C">
        <w:rPr>
          <w:rFonts w:ascii="Arial" w:eastAsia="Times New Roman" w:hAnsi="Arial" w:cs="Arial"/>
          <w:b/>
          <w:bCs/>
          <w:sz w:val="24"/>
          <w:szCs w:val="24"/>
          <w:lang w:eastAsia="it-IT"/>
        </w:rPr>
        <w:tab/>
      </w: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64384" behindDoc="0" locked="1" layoutInCell="1" allowOverlap="1">
                <wp:simplePos x="0" y="0"/>
                <wp:positionH relativeFrom="column">
                  <wp:posOffset>2857500</wp:posOffset>
                </wp:positionH>
                <wp:positionV relativeFrom="paragraph">
                  <wp:posOffset>191770</wp:posOffset>
                </wp:positionV>
                <wp:extent cx="0" cy="1028700"/>
                <wp:effectExtent l="5715" t="11430" r="13335" b="7620"/>
                <wp:wrapNone/>
                <wp:docPr id="70" name="Connettore 1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21FF7" id="Connettore 1 7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1pt" to="22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">
                <w10:anchorlock/>
              </v:line>
            </w:pict>
          </mc:Fallback>
        </mc:AlternateContent>
      </w:r>
      <w:r w:rsidRPr="002E236C">
        <w:rPr>
          <w:rFonts w:ascii="Arial" w:eastAsia="Times New Roman" w:hAnsi="Arial" w:cs="Arial"/>
          <w:color w:val="000000"/>
          <w:sz w:val="24"/>
          <w:szCs w:val="24"/>
          <w:lang w:eastAsia="it-IT"/>
        </w:rPr>
        <w:tab/>
      </w:r>
      <w:r w:rsidRPr="002E236C">
        <w:rPr>
          <w:rFonts w:ascii="Arial" w:eastAsia="Times New Roman" w:hAnsi="Arial" w:cs="Arial"/>
          <w:color w:val="000000"/>
          <w:sz w:val="24"/>
          <w:szCs w:val="24"/>
          <w:lang w:eastAsia="it-IT"/>
        </w:rPr>
        <w:tab/>
      </w:r>
      <w:r w:rsidRPr="002E236C">
        <w:rPr>
          <w:rFonts w:ascii="Arial" w:eastAsia="Times New Roman" w:hAnsi="Arial" w:cs="Arial"/>
          <w:color w:val="000000"/>
          <w:sz w:val="24"/>
          <w:szCs w:val="24"/>
          <w:lang w:eastAsia="it-IT"/>
        </w:rPr>
        <w:tab/>
      </w:r>
      <w:r w:rsidRPr="002E236C">
        <w:rPr>
          <w:rFonts w:ascii="Arial" w:eastAsia="Times New Roman" w:hAnsi="Arial" w:cs="Arial"/>
          <w:color w:val="000000"/>
          <w:sz w:val="24"/>
          <w:szCs w:val="24"/>
          <w:lang w:eastAsia="it-IT"/>
        </w:rPr>
        <w:tab/>
      </w:r>
      <w:r w:rsidRPr="002E236C">
        <w:rPr>
          <w:rFonts w:ascii="Arial" w:eastAsia="Times New Roman" w:hAnsi="Arial" w:cs="Arial"/>
          <w:color w:val="000000"/>
          <w:sz w:val="24"/>
          <w:szCs w:val="24"/>
          <w:lang w:eastAsia="it-IT"/>
        </w:rPr>
        <w:tab/>
      </w:r>
      <w:r w:rsidRPr="002E236C">
        <w:rPr>
          <w:rFonts w:ascii="Arial" w:eastAsia="Times New Roman" w:hAnsi="Arial" w:cs="Arial"/>
          <w:color w:val="000000"/>
          <w:sz w:val="24"/>
          <w:szCs w:val="24"/>
          <w:lang w:eastAsia="it-IT"/>
        </w:rPr>
        <w:tab/>
      </w:r>
      <w:r w:rsidRPr="002E236C">
        <w:rPr>
          <w:rFonts w:ascii="Arial" w:eastAsia="Times New Roman" w:hAnsi="Arial" w:cs="Arial"/>
          <w:color w:val="000000"/>
          <w:sz w:val="24"/>
          <w:szCs w:val="24"/>
          <w:lang w:eastAsia="it-IT"/>
        </w:rPr>
        <w:tab/>
      </w: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 xml:space="preserve">                                                                     Staff del Sindaco –Segreteria Giunta Comunale</w:t>
      </w:r>
    </w:p>
    <w:p w:rsidR="002E236C" w:rsidRPr="002E236C" w:rsidRDefault="002E236C" w:rsidP="002E236C">
      <w:pPr>
        <w:autoSpaceDE w:val="0"/>
        <w:autoSpaceDN w:val="0"/>
        <w:adjustRightInd w:val="0"/>
        <w:spacing w:after="0" w:line="240" w:lineRule="auto"/>
        <w:ind w:firstLine="4678"/>
        <w:jc w:val="both"/>
        <w:rPr>
          <w:rFonts w:ascii="Arial" w:eastAsia="Times New Roman" w:hAnsi="Arial" w:cs="Arial"/>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63360" behindDoc="0" locked="1" layoutInCell="1" allowOverlap="1">
                <wp:simplePos x="0" y="0"/>
                <wp:positionH relativeFrom="column">
                  <wp:posOffset>-20955</wp:posOffset>
                </wp:positionH>
                <wp:positionV relativeFrom="paragraph">
                  <wp:posOffset>94615</wp:posOffset>
                </wp:positionV>
                <wp:extent cx="1714500" cy="342900"/>
                <wp:effectExtent l="13335" t="11430" r="5715" b="7620"/>
                <wp:wrapNone/>
                <wp:docPr id="69" name="Casella di testo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1406AD" w:rsidRPr="000C19EA" w:rsidRDefault="001406AD" w:rsidP="002E236C">
                            <w:pPr>
                              <w:rPr>
                                <w:color w:val="FF0000"/>
                                <w:sz w:val="20"/>
                                <w:szCs w:val="20"/>
                              </w:rPr>
                            </w:pPr>
                            <w:r w:rsidRPr="000C19EA">
                              <w:rPr>
                                <w:color w:val="FF0000"/>
                                <w:sz w:val="20"/>
                                <w:szCs w:val="20"/>
                              </w:rPr>
                              <w:t>SERVIZI DEMOGRAFICI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9" o:spid="_x0000_s1032" type="#_x0000_t202" style="position:absolute;left:0;text-align:left;margin-left:-1.65pt;margin-top:7.45pt;width:13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">
                <v:textbox>
                  <w:txbxContent>
                    <w:p w:rsidR="001406AD" w:rsidRPr="000C19EA" w:rsidRDefault="001406AD" w:rsidP="002E236C">
                      <w:pPr>
                        <w:rPr>
                          <w:color w:val="FF0000"/>
                          <w:sz w:val="20"/>
                          <w:szCs w:val="20"/>
                        </w:rPr>
                      </w:pPr>
                      <w:r w:rsidRPr="000C19EA">
                        <w:rPr>
                          <w:color w:val="FF0000"/>
                          <w:sz w:val="20"/>
                          <w:szCs w:val="20"/>
                        </w:rPr>
                        <w:t>SERVIZI DEMOGRAFICI</w:t>
                      </w:r>
                    </w:p>
                  </w:txbxContent>
                </v:textbox>
                <w10:anchorlock/>
              </v:shape>
            </w:pict>
          </mc:Fallback>
        </mc:AlternateContent>
      </w:r>
      <w:r w:rsidRPr="002E236C">
        <w:rPr>
          <w:rFonts w:ascii="Arial" w:eastAsia="Times New Roman" w:hAnsi="Arial" w:cs="Arial"/>
          <w:sz w:val="24"/>
          <w:szCs w:val="24"/>
          <w:lang w:eastAsia="it-IT"/>
        </w:rPr>
        <w:t>Anagrafe/Stato Civile</w:t>
      </w:r>
    </w:p>
    <w:p w:rsidR="002E236C" w:rsidRPr="002E236C" w:rsidRDefault="002E236C" w:rsidP="002E236C">
      <w:pPr>
        <w:autoSpaceDE w:val="0"/>
        <w:autoSpaceDN w:val="0"/>
        <w:adjustRightInd w:val="0"/>
        <w:spacing w:after="0" w:line="240" w:lineRule="auto"/>
        <w:ind w:firstLine="4678"/>
        <w:jc w:val="both"/>
        <w:rPr>
          <w:rFonts w:ascii="Arial" w:eastAsia="Times New Roman" w:hAnsi="Arial" w:cs="Arial"/>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86912" behindDoc="0" locked="1" layoutInCell="1" allowOverlap="1">
                <wp:simplePos x="0" y="0"/>
                <wp:positionH relativeFrom="column">
                  <wp:posOffset>1807845</wp:posOffset>
                </wp:positionH>
                <wp:positionV relativeFrom="paragraph">
                  <wp:posOffset>92710</wp:posOffset>
                </wp:positionV>
                <wp:extent cx="990600" cy="0"/>
                <wp:effectExtent l="13335" t="60960" r="15240" b="53340"/>
                <wp:wrapNone/>
                <wp:docPr id="68" name="Connettore 1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0E431" id="Connettore 1 6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5pt,7.3pt" to="220.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">
                <v:stroke endarrow="block"/>
                <w10:anchorlock/>
              </v:line>
            </w:pict>
          </mc:Fallback>
        </mc:AlternateContent>
      </w:r>
      <w:r w:rsidRPr="002E236C">
        <w:rPr>
          <w:rFonts w:ascii="Arial" w:eastAsia="Times New Roman" w:hAnsi="Arial" w:cs="Arial"/>
          <w:sz w:val="24"/>
          <w:szCs w:val="24"/>
          <w:lang w:eastAsia="it-IT"/>
        </w:rPr>
        <w:t>Elettorale</w:t>
      </w:r>
    </w:p>
    <w:p w:rsidR="002E236C" w:rsidRPr="002E236C" w:rsidRDefault="002E236C" w:rsidP="002E236C">
      <w:pPr>
        <w:autoSpaceDE w:val="0"/>
        <w:autoSpaceDN w:val="0"/>
        <w:adjustRightInd w:val="0"/>
        <w:spacing w:after="0" w:line="240" w:lineRule="auto"/>
        <w:ind w:firstLine="4678"/>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Leva</w:t>
      </w:r>
    </w:p>
    <w:p w:rsidR="002E236C" w:rsidRPr="002E236C" w:rsidRDefault="002E236C" w:rsidP="002E236C">
      <w:pPr>
        <w:autoSpaceDE w:val="0"/>
        <w:autoSpaceDN w:val="0"/>
        <w:adjustRightInd w:val="0"/>
        <w:spacing w:after="0" w:line="240" w:lineRule="auto"/>
        <w:ind w:firstLine="4678"/>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Statistica</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t xml:space="preserve">                            Mandamentale </w:t>
      </w: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4"/>
          <w:szCs w:val="24"/>
          <w:lang w:eastAsia="it-IT"/>
        </w:rPr>
      </w:pPr>
      <w:r w:rsidRPr="002E236C">
        <w:rPr>
          <w:rFonts w:ascii="Verdana" w:eastAsia="Times New Roman" w:hAnsi="Verdana" w:cs="Verdana"/>
          <w:sz w:val="20"/>
          <w:szCs w:val="20"/>
          <w:lang w:eastAsia="it-IT"/>
        </w:rPr>
        <w:t xml:space="preserve">         </w:t>
      </w:r>
    </w:p>
    <w:tbl>
      <w:tblPr>
        <w:tblpPr w:leftFromText="141" w:rightFromText="141"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tblGrid>
      <w:tr w:rsidR="002E236C" w:rsidRPr="002E236C" w:rsidTr="00D11A23">
        <w:trPr>
          <w:trHeight w:val="798"/>
        </w:trPr>
        <w:tc>
          <w:tcPr>
            <w:tcW w:w="2880" w:type="dxa"/>
          </w:tcPr>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0"/>
                <w:szCs w:val="20"/>
                <w:lang w:eastAsia="it-IT"/>
              </w:rPr>
            </w:pPr>
            <w:r w:rsidRPr="002E236C">
              <w:rPr>
                <w:rFonts w:ascii="Verdana" w:eastAsia="Times New Roman" w:hAnsi="Verdana" w:cs="Verdana"/>
                <w:color w:val="FF0000"/>
                <w:sz w:val="20"/>
                <w:szCs w:val="20"/>
                <w:lang w:eastAsia="it-IT"/>
              </w:rPr>
              <w:t>SERVIZIO</w:t>
            </w: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0"/>
                <w:szCs w:val="20"/>
                <w:lang w:eastAsia="it-IT"/>
              </w:rPr>
            </w:pPr>
            <w:r w:rsidRPr="002E236C">
              <w:rPr>
                <w:rFonts w:ascii="Verdana" w:eastAsia="Times New Roman" w:hAnsi="Verdana" w:cs="Verdana"/>
                <w:color w:val="FF0000"/>
                <w:sz w:val="20"/>
                <w:szCs w:val="20"/>
                <w:lang w:eastAsia="it-IT"/>
              </w:rPr>
              <w:t>SEGRETERIA GENERALE</w:t>
            </w:r>
          </w:p>
          <w:p w:rsidR="002E236C" w:rsidRPr="002E236C" w:rsidRDefault="002E236C" w:rsidP="002E236C">
            <w:pPr>
              <w:tabs>
                <w:tab w:val="left" w:pos="1940"/>
              </w:tabs>
              <w:autoSpaceDE w:val="0"/>
              <w:autoSpaceDN w:val="0"/>
              <w:adjustRightInd w:val="0"/>
              <w:spacing w:after="0" w:line="240" w:lineRule="auto"/>
              <w:jc w:val="both"/>
              <w:rPr>
                <w:rFonts w:ascii="Verdana" w:eastAsia="Times New Roman" w:hAnsi="Verdana" w:cs="Verdana"/>
                <w:color w:val="FF0000"/>
                <w:sz w:val="20"/>
                <w:szCs w:val="20"/>
                <w:lang w:eastAsia="it-IT"/>
              </w:rPr>
            </w:pPr>
            <w:r w:rsidRPr="002E236C">
              <w:rPr>
                <w:rFonts w:ascii="Verdana" w:eastAsia="Times New Roman" w:hAnsi="Verdana" w:cs="Verdana"/>
                <w:color w:val="FF0000"/>
                <w:sz w:val="20"/>
                <w:szCs w:val="20"/>
                <w:lang w:eastAsia="it-IT"/>
              </w:rPr>
              <w:tab/>
            </w:r>
          </w:p>
        </w:tc>
      </w:tr>
    </w:tbl>
    <w:p w:rsidR="002E236C" w:rsidRPr="002E236C" w:rsidRDefault="002E236C" w:rsidP="002E236C">
      <w:pPr>
        <w:autoSpaceDE w:val="0"/>
        <w:autoSpaceDN w:val="0"/>
        <w:adjustRightInd w:val="0"/>
        <w:spacing w:after="0" w:line="240" w:lineRule="auto"/>
        <w:jc w:val="both"/>
        <w:rPr>
          <w:rFonts w:ascii="Verdana" w:eastAsia="Times New Roman" w:hAnsi="Verdana" w:cs="Verdana"/>
          <w:color w:val="000000"/>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718656" behindDoc="0" locked="1" layoutInCell="1" allowOverlap="1">
                <wp:simplePos x="0" y="0"/>
                <wp:positionH relativeFrom="column">
                  <wp:posOffset>1990090</wp:posOffset>
                </wp:positionH>
                <wp:positionV relativeFrom="paragraph">
                  <wp:posOffset>441325</wp:posOffset>
                </wp:positionV>
                <wp:extent cx="990600" cy="0"/>
                <wp:effectExtent l="5715" t="57150" r="22860" b="57150"/>
                <wp:wrapNone/>
                <wp:docPr id="67" name="Connettore 1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6C93E" id="Connettore 1 6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pt,34.75pt" to="234.7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">
                <v:stroke endarrow="block"/>
                <w10:anchorlock/>
              </v:line>
            </w:pict>
          </mc:Fallback>
        </mc:AlternateContent>
      </w:r>
      <w:r w:rsidRPr="002E236C">
        <w:rPr>
          <w:rFonts w:ascii="Verdana" w:eastAsia="Times New Roman" w:hAnsi="Verdana" w:cs="Verdana"/>
          <w:b/>
          <w:bCs/>
          <w:color w:val="000000"/>
          <w:sz w:val="24"/>
          <w:szCs w:val="24"/>
          <w:lang w:eastAsia="it-IT"/>
        </w:rPr>
        <w:t xml:space="preserve">                      </w:t>
      </w:r>
      <w:r w:rsidRPr="002E236C">
        <w:rPr>
          <w:rFonts w:ascii="Verdana" w:eastAsia="Times New Roman" w:hAnsi="Verdana" w:cs="Verdana"/>
          <w:color w:val="000000"/>
          <w:sz w:val="24"/>
          <w:szCs w:val="24"/>
          <w:lang w:eastAsia="it-IT"/>
        </w:rPr>
        <w:t>Atti Consiglio/Giunta Comunale (delibere)</w:t>
      </w:r>
    </w:p>
    <w:p w:rsidR="002E236C" w:rsidRPr="002E236C" w:rsidRDefault="002E236C" w:rsidP="002E236C">
      <w:pPr>
        <w:autoSpaceDE w:val="0"/>
        <w:autoSpaceDN w:val="0"/>
        <w:adjustRightInd w:val="0"/>
        <w:spacing w:after="0" w:line="240" w:lineRule="auto"/>
        <w:ind w:left="1416" w:firstLine="708"/>
        <w:jc w:val="both"/>
        <w:rPr>
          <w:rFonts w:ascii="Verdana" w:eastAsia="Times New Roman" w:hAnsi="Verdana" w:cs="Verdana"/>
          <w:color w:val="000000"/>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719680" behindDoc="0" locked="1" layoutInCell="1" allowOverlap="1">
                <wp:simplePos x="0" y="0"/>
                <wp:positionH relativeFrom="column">
                  <wp:posOffset>2999740</wp:posOffset>
                </wp:positionH>
                <wp:positionV relativeFrom="paragraph">
                  <wp:posOffset>-343535</wp:posOffset>
                </wp:positionV>
                <wp:extent cx="0" cy="1257300"/>
                <wp:effectExtent l="5715" t="5080" r="13335" b="13970"/>
                <wp:wrapNone/>
                <wp:docPr id="66" name="Connettore 1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8850F" id="Connettore 1 6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pt,-27.05pt" to="236.2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">
                <w10:anchorlock/>
              </v:line>
            </w:pict>
          </mc:Fallback>
        </mc:AlternateContent>
      </w:r>
      <w:r w:rsidRPr="002E236C">
        <w:rPr>
          <w:rFonts w:ascii="Verdana" w:eastAsia="Times New Roman" w:hAnsi="Verdana" w:cs="Verdana"/>
          <w:color w:val="000000"/>
          <w:sz w:val="24"/>
          <w:szCs w:val="24"/>
          <w:lang w:eastAsia="it-IT"/>
        </w:rPr>
        <w:t xml:space="preserve">            Gestione </w:t>
      </w:r>
      <w:proofErr w:type="spellStart"/>
      <w:r w:rsidRPr="002E236C">
        <w:rPr>
          <w:rFonts w:ascii="Verdana" w:eastAsia="Times New Roman" w:hAnsi="Verdana" w:cs="Verdana"/>
          <w:color w:val="000000"/>
          <w:sz w:val="24"/>
          <w:szCs w:val="24"/>
          <w:lang w:eastAsia="it-IT"/>
        </w:rPr>
        <w:t>Determine</w:t>
      </w:r>
      <w:proofErr w:type="spellEnd"/>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000000"/>
          <w:sz w:val="24"/>
          <w:szCs w:val="24"/>
          <w:lang w:eastAsia="it-IT"/>
        </w:rPr>
      </w:pPr>
      <w:r w:rsidRPr="002E236C">
        <w:rPr>
          <w:rFonts w:ascii="Verdana" w:eastAsia="Times New Roman" w:hAnsi="Verdana" w:cs="Verdana"/>
          <w:color w:val="000000"/>
          <w:sz w:val="24"/>
          <w:szCs w:val="24"/>
          <w:lang w:eastAsia="it-IT"/>
        </w:rPr>
        <w:t xml:space="preserve">                     Assicurazioni</w:t>
      </w:r>
      <w:r w:rsidRPr="002E236C">
        <w:rPr>
          <w:rFonts w:ascii="Verdana" w:eastAsia="Times New Roman" w:hAnsi="Verdana" w:cs="Verdana"/>
          <w:color w:val="000000"/>
          <w:sz w:val="24"/>
          <w:szCs w:val="24"/>
          <w:lang w:eastAsia="it-IT"/>
        </w:rPr>
        <w:tab/>
      </w:r>
      <w:r w:rsidRPr="002E236C">
        <w:rPr>
          <w:rFonts w:ascii="Verdana" w:eastAsia="Times New Roman" w:hAnsi="Verdana" w:cs="Verdana"/>
          <w:color w:val="000000"/>
          <w:sz w:val="24"/>
          <w:szCs w:val="24"/>
          <w:lang w:eastAsia="it-IT"/>
        </w:rPr>
        <w:tab/>
      </w: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000000"/>
          <w:sz w:val="20"/>
          <w:szCs w:val="20"/>
          <w:lang w:eastAsia="it-IT"/>
        </w:rPr>
      </w:pPr>
      <w:r w:rsidRPr="002E236C">
        <w:rPr>
          <w:rFonts w:ascii="Verdana" w:eastAsia="Times New Roman" w:hAnsi="Verdana" w:cs="Verdana"/>
          <w:color w:val="000000"/>
          <w:sz w:val="24"/>
          <w:szCs w:val="24"/>
          <w:lang w:eastAsia="it-IT"/>
        </w:rPr>
        <w:t xml:space="preserve">                     </w:t>
      </w:r>
      <w:r w:rsidRPr="002E236C">
        <w:rPr>
          <w:rFonts w:ascii="Verdana" w:eastAsia="Times New Roman" w:hAnsi="Verdana" w:cs="Verdana"/>
          <w:color w:val="000000"/>
          <w:sz w:val="20"/>
          <w:szCs w:val="20"/>
          <w:lang w:eastAsia="it-IT"/>
        </w:rPr>
        <w:tab/>
      </w: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r w:rsidRPr="002E236C">
        <w:rPr>
          <w:rFonts w:ascii="Verdana" w:eastAsia="Times New Roman" w:hAnsi="Verdana" w:cs="Verdana"/>
          <w:sz w:val="20"/>
          <w:szCs w:val="20"/>
          <w:lang w:eastAsia="it-IT"/>
        </w:rPr>
        <w:t xml:space="preserve">                                                                    </w:t>
      </w:r>
      <w:r w:rsidRPr="002E236C">
        <w:rPr>
          <w:rFonts w:ascii="Verdana" w:eastAsia="Times New Roman" w:hAnsi="Verdana" w:cs="Verdana"/>
          <w:sz w:val="24"/>
          <w:szCs w:val="24"/>
          <w:lang w:eastAsia="it-IT"/>
        </w:rPr>
        <w:t xml:space="preserve">Sito Web </w:t>
      </w:r>
    </w:p>
    <w:p w:rsidR="002E236C" w:rsidRPr="002E236C" w:rsidRDefault="002E236C" w:rsidP="002E236C">
      <w:pPr>
        <w:autoSpaceDE w:val="0"/>
        <w:autoSpaceDN w:val="0"/>
        <w:adjustRightInd w:val="0"/>
        <w:spacing w:after="0" w:line="240" w:lineRule="auto"/>
        <w:rPr>
          <w:rFonts w:ascii="Verdana" w:eastAsia="Times New Roman" w:hAnsi="Verdana" w:cs="Verdana"/>
          <w:sz w:val="20"/>
          <w:szCs w:val="20"/>
          <w:lang w:eastAsia="it-IT"/>
        </w:rPr>
      </w:pPr>
      <w:r w:rsidRPr="002E236C">
        <w:rPr>
          <w:rFonts w:ascii="Verdana" w:eastAsia="Times New Roman" w:hAnsi="Verdana" w:cs="Verdana"/>
          <w:sz w:val="24"/>
          <w:szCs w:val="24"/>
          <w:lang w:eastAsia="it-IT"/>
        </w:rPr>
        <w:t xml:space="preserve">                                                        </w:t>
      </w:r>
      <w:proofErr w:type="gramStart"/>
      <w:r w:rsidRPr="002E236C">
        <w:rPr>
          <w:rFonts w:ascii="Verdana" w:eastAsia="Times New Roman" w:hAnsi="Verdana" w:cs="Verdana"/>
          <w:sz w:val="24"/>
          <w:szCs w:val="24"/>
          <w:lang w:eastAsia="it-IT"/>
        </w:rPr>
        <w:t>Personale  1</w:t>
      </w:r>
      <w:proofErr w:type="gramEnd"/>
      <w:r w:rsidRPr="002E236C">
        <w:rPr>
          <w:rFonts w:ascii="Verdana" w:eastAsia="Times New Roman" w:hAnsi="Verdana" w:cs="Verdana"/>
          <w:sz w:val="24"/>
          <w:szCs w:val="24"/>
          <w:lang w:eastAsia="it-IT"/>
        </w:rPr>
        <w:t>)</w:t>
      </w:r>
      <w:r w:rsidRPr="002E236C">
        <w:rPr>
          <w:rFonts w:ascii="Verdana" w:eastAsia="Times New Roman" w:hAnsi="Verdana" w:cs="Verdana"/>
          <w:sz w:val="20"/>
          <w:szCs w:val="20"/>
          <w:lang w:eastAsia="it-IT"/>
        </w:rPr>
        <w:t xml:space="preserve"> </w:t>
      </w: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000000"/>
          <w:sz w:val="20"/>
          <w:szCs w:val="20"/>
          <w:lang w:eastAsia="it-IT"/>
        </w:rPr>
      </w:pPr>
      <w:r w:rsidRPr="002E236C">
        <w:rPr>
          <w:rFonts w:ascii="Verdana" w:eastAsia="Times New Roman" w:hAnsi="Verdana" w:cs="Verdana"/>
          <w:color w:val="000000"/>
          <w:sz w:val="20"/>
          <w:szCs w:val="20"/>
          <w:lang w:eastAsia="it-IT"/>
        </w:rPr>
        <w:tab/>
      </w:r>
      <w:r w:rsidRPr="002E236C">
        <w:rPr>
          <w:rFonts w:ascii="Verdana" w:eastAsia="Times New Roman" w:hAnsi="Verdana" w:cs="Verdana"/>
          <w:color w:val="000000"/>
          <w:sz w:val="20"/>
          <w:szCs w:val="20"/>
          <w:lang w:eastAsia="it-IT"/>
        </w:rPr>
        <w:tab/>
      </w:r>
      <w:r w:rsidRPr="002E236C">
        <w:rPr>
          <w:rFonts w:ascii="Verdana" w:eastAsia="Times New Roman" w:hAnsi="Verdana" w:cs="Verdana"/>
          <w:color w:val="000000"/>
          <w:sz w:val="20"/>
          <w:szCs w:val="20"/>
          <w:lang w:eastAsia="it-IT"/>
        </w:rPr>
        <w:tab/>
      </w:r>
      <w:r w:rsidRPr="002E236C">
        <w:rPr>
          <w:rFonts w:ascii="Verdana" w:eastAsia="Times New Roman" w:hAnsi="Verdana" w:cs="Verdana"/>
          <w:color w:val="000000"/>
          <w:sz w:val="20"/>
          <w:szCs w:val="20"/>
          <w:lang w:eastAsia="it-IT"/>
        </w:rPr>
        <w:tab/>
      </w:r>
      <w:r w:rsidRPr="002E236C">
        <w:rPr>
          <w:rFonts w:ascii="Verdana" w:eastAsia="Times New Roman" w:hAnsi="Verdana" w:cs="Verdana"/>
          <w:color w:val="000000"/>
          <w:sz w:val="20"/>
          <w:szCs w:val="20"/>
          <w:lang w:eastAsia="it-IT"/>
        </w:rPr>
        <w:tab/>
      </w:r>
      <w:r w:rsidRPr="002E236C">
        <w:rPr>
          <w:rFonts w:ascii="Verdana" w:eastAsia="Times New Roman" w:hAnsi="Verdana" w:cs="Verdana"/>
          <w:color w:val="000000"/>
          <w:sz w:val="20"/>
          <w:szCs w:val="20"/>
          <w:lang w:eastAsia="it-IT"/>
        </w:rPr>
        <w:tab/>
      </w:r>
      <w:r w:rsidRPr="002E236C">
        <w:rPr>
          <w:rFonts w:ascii="Verdana" w:eastAsia="Times New Roman" w:hAnsi="Verdana" w:cs="Verdana"/>
          <w:color w:val="000000"/>
          <w:sz w:val="20"/>
          <w:szCs w:val="20"/>
          <w:lang w:eastAsia="it-IT"/>
        </w:rPr>
        <w:tab/>
      </w:r>
    </w:p>
    <w:p w:rsidR="002E236C" w:rsidRPr="002E236C" w:rsidRDefault="002E236C" w:rsidP="002E236C">
      <w:pPr>
        <w:autoSpaceDE w:val="0"/>
        <w:autoSpaceDN w:val="0"/>
        <w:adjustRightInd w:val="0"/>
        <w:spacing w:after="0" w:line="240" w:lineRule="auto"/>
        <w:ind w:firstLine="4680"/>
        <w:rPr>
          <w:rFonts w:ascii="Verdana" w:eastAsia="Times New Roman" w:hAnsi="Verdana" w:cs="Verdana"/>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722752" behindDoc="0" locked="1" layoutInCell="1" allowOverlap="1">
                <wp:simplePos x="0" y="0"/>
                <wp:positionH relativeFrom="column">
                  <wp:posOffset>0</wp:posOffset>
                </wp:positionH>
                <wp:positionV relativeFrom="paragraph">
                  <wp:posOffset>29210</wp:posOffset>
                </wp:positionV>
                <wp:extent cx="1714500" cy="457200"/>
                <wp:effectExtent l="5715" t="8255" r="13335" b="10795"/>
                <wp:wrapNone/>
                <wp:docPr id="65" name="Casella di tes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1406AD" w:rsidRPr="003E621E" w:rsidRDefault="001406AD" w:rsidP="002E236C">
                            <w:pPr>
                              <w:rPr>
                                <w:color w:val="FF0000"/>
                                <w:sz w:val="20"/>
                                <w:szCs w:val="20"/>
                              </w:rPr>
                            </w:pPr>
                            <w:r w:rsidRPr="003E621E">
                              <w:rPr>
                                <w:color w:val="FF0000"/>
                                <w:sz w:val="20"/>
                                <w:szCs w:val="20"/>
                              </w:rPr>
                              <w:t>ATTIVITA’ PRODUTTIVE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5" o:spid="_x0000_s1033" type="#_x0000_t202" style="position:absolute;left:0;text-align:left;margin-left:0;margin-top:2.3pt;width:13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">
                <v:textbox>
                  <w:txbxContent>
                    <w:p w:rsidR="001406AD" w:rsidRPr="003E621E" w:rsidRDefault="001406AD" w:rsidP="002E236C">
                      <w:pPr>
                        <w:rPr>
                          <w:color w:val="FF0000"/>
                          <w:sz w:val="20"/>
                          <w:szCs w:val="20"/>
                        </w:rPr>
                      </w:pPr>
                      <w:r w:rsidRPr="003E621E">
                        <w:rPr>
                          <w:color w:val="FF0000"/>
                          <w:sz w:val="20"/>
                          <w:szCs w:val="20"/>
                        </w:rPr>
                        <w:t>ATTIVITA’ PRODUTTIVE</w:t>
                      </w:r>
                    </w:p>
                  </w:txbxContent>
                </v:textbox>
                <w10:anchorlock/>
              </v:shape>
            </w:pict>
          </mc:Fallback>
        </mc:AlternateContent>
      </w: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720704" behindDoc="0" locked="1" layoutInCell="1" allowOverlap="1">
                <wp:simplePos x="0" y="0"/>
                <wp:positionH relativeFrom="column">
                  <wp:posOffset>1714500</wp:posOffset>
                </wp:positionH>
                <wp:positionV relativeFrom="paragraph">
                  <wp:posOffset>257810</wp:posOffset>
                </wp:positionV>
                <wp:extent cx="1143000" cy="3175"/>
                <wp:effectExtent l="5715" t="55880" r="22860" b="55245"/>
                <wp:wrapNone/>
                <wp:docPr id="64" name="Connettore 1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9B711" id="Connettore 1 6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0.3pt" to="2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5hOMQIAAFc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">
                <v:stroke endarrow="block"/>
                <w10:anchorlock/>
              </v:line>
            </w:pict>
          </mc:Fallback>
        </mc:AlternateContent>
      </w:r>
      <w:r w:rsidRPr="002E236C">
        <w:rPr>
          <w:rFonts w:ascii="Verdana" w:eastAsia="Times New Roman" w:hAnsi="Verdana" w:cs="Verdana"/>
          <w:sz w:val="24"/>
          <w:szCs w:val="24"/>
          <w:lang w:eastAsia="it-IT"/>
        </w:rPr>
        <w:t xml:space="preserve">  Attività </w:t>
      </w:r>
      <w:proofErr w:type="gramStart"/>
      <w:r w:rsidRPr="002E236C">
        <w:rPr>
          <w:rFonts w:ascii="Verdana" w:eastAsia="Times New Roman" w:hAnsi="Verdana" w:cs="Verdana"/>
          <w:sz w:val="24"/>
          <w:szCs w:val="24"/>
          <w:lang w:eastAsia="it-IT"/>
        </w:rPr>
        <w:t>Produttive  2</w:t>
      </w:r>
      <w:proofErr w:type="gramEnd"/>
      <w:r w:rsidRPr="002E236C">
        <w:rPr>
          <w:rFonts w:ascii="Verdana" w:eastAsia="Times New Roman" w:hAnsi="Verdana" w:cs="Verdana"/>
          <w:sz w:val="24"/>
          <w:szCs w:val="24"/>
          <w:lang w:eastAsia="it-IT"/>
        </w:rPr>
        <w:t>)</w:t>
      </w:r>
    </w:p>
    <w:p w:rsidR="002E236C" w:rsidRPr="002E236C" w:rsidRDefault="002E236C" w:rsidP="002E236C">
      <w:pPr>
        <w:autoSpaceDE w:val="0"/>
        <w:autoSpaceDN w:val="0"/>
        <w:adjustRightInd w:val="0"/>
        <w:spacing w:after="0" w:line="240" w:lineRule="auto"/>
        <w:ind w:firstLine="4678"/>
        <w:rPr>
          <w:rFonts w:ascii="Verdana" w:eastAsia="Times New Roman" w:hAnsi="Verdana" w:cs="Verdana"/>
          <w:sz w:val="24"/>
          <w:szCs w:val="24"/>
          <w:lang w:eastAsia="it-IT"/>
        </w:rPr>
      </w:pPr>
      <w:r w:rsidRPr="002E236C">
        <w:rPr>
          <w:rFonts w:ascii="Verdana" w:eastAsia="Times New Roman" w:hAnsi="Verdana" w:cs="Verdana"/>
          <w:sz w:val="24"/>
          <w:szCs w:val="24"/>
          <w:lang w:eastAsia="it-IT"/>
        </w:rPr>
        <w:t xml:space="preserve">  SUAP                       2)</w:t>
      </w:r>
    </w:p>
    <w:p w:rsidR="002E236C" w:rsidRPr="002E236C" w:rsidRDefault="002E236C" w:rsidP="002E236C">
      <w:pPr>
        <w:autoSpaceDE w:val="0"/>
        <w:autoSpaceDN w:val="0"/>
        <w:adjustRightInd w:val="0"/>
        <w:spacing w:after="0" w:line="240" w:lineRule="auto"/>
        <w:ind w:firstLine="4678"/>
        <w:rPr>
          <w:rFonts w:ascii="Verdana" w:eastAsia="Times New Roman" w:hAnsi="Verdana" w:cs="Verdana"/>
          <w:sz w:val="24"/>
          <w:szCs w:val="24"/>
          <w:lang w:eastAsia="it-IT"/>
        </w:rPr>
      </w:pPr>
      <w:r w:rsidRPr="002E236C">
        <w:rPr>
          <w:rFonts w:ascii="Verdana" w:eastAsia="Times New Roman" w:hAnsi="Verdana" w:cs="Verdana"/>
          <w:sz w:val="20"/>
          <w:szCs w:val="20"/>
          <w:lang w:eastAsia="it-IT"/>
        </w:rPr>
        <w:t xml:space="preserve">  </w:t>
      </w:r>
      <w:r w:rsidRPr="002E236C">
        <w:rPr>
          <w:rFonts w:ascii="Verdana" w:eastAsia="Times New Roman" w:hAnsi="Verdana" w:cs="Verdana"/>
          <w:sz w:val="24"/>
          <w:szCs w:val="24"/>
          <w:lang w:eastAsia="it-IT"/>
        </w:rPr>
        <w:t>Promozione del territorio</w:t>
      </w:r>
    </w:p>
    <w:p w:rsidR="002E236C" w:rsidRPr="002E236C" w:rsidRDefault="002E236C" w:rsidP="002E236C">
      <w:pPr>
        <w:autoSpaceDE w:val="0"/>
        <w:autoSpaceDN w:val="0"/>
        <w:adjustRightInd w:val="0"/>
        <w:spacing w:after="0" w:line="240" w:lineRule="auto"/>
        <w:ind w:left="3970" w:firstLine="710"/>
        <w:jc w:val="both"/>
        <w:rPr>
          <w:rFonts w:ascii="Verdana" w:eastAsia="Times New Roman" w:hAnsi="Verdana" w:cs="Verdana"/>
          <w:color w:val="000000"/>
          <w:sz w:val="24"/>
          <w:szCs w:val="24"/>
          <w:lang w:eastAsia="it-IT"/>
        </w:rPr>
      </w:pPr>
      <w:r w:rsidRPr="002E236C">
        <w:rPr>
          <w:rFonts w:ascii="Verdana" w:eastAsia="Times New Roman" w:hAnsi="Verdana" w:cs="Verdana"/>
          <w:sz w:val="24"/>
          <w:szCs w:val="24"/>
          <w:lang w:eastAsia="it-IT"/>
        </w:rPr>
        <w:t xml:space="preserve">  Farmacia</w:t>
      </w:r>
    </w:p>
    <w:p w:rsidR="002E236C" w:rsidRPr="002E236C" w:rsidRDefault="002E236C" w:rsidP="002E236C">
      <w:pPr>
        <w:autoSpaceDE w:val="0"/>
        <w:autoSpaceDN w:val="0"/>
        <w:adjustRightInd w:val="0"/>
        <w:spacing w:after="0" w:line="240" w:lineRule="auto"/>
        <w:rPr>
          <w:rFonts w:ascii="Verdana" w:eastAsia="Times New Roman" w:hAnsi="Verdana" w:cs="Verdana"/>
          <w:color w:val="000000"/>
          <w:sz w:val="20"/>
          <w:szCs w:val="20"/>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721728" behindDoc="0" locked="1" layoutInCell="1" allowOverlap="1">
                <wp:simplePos x="0" y="0"/>
                <wp:positionH relativeFrom="column">
                  <wp:posOffset>2857500</wp:posOffset>
                </wp:positionH>
                <wp:positionV relativeFrom="paragraph">
                  <wp:posOffset>-940435</wp:posOffset>
                </wp:positionV>
                <wp:extent cx="0" cy="990600"/>
                <wp:effectExtent l="5715" t="7620" r="13335" b="11430"/>
                <wp:wrapNone/>
                <wp:docPr id="63" name="Connettore 1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691A2" id="Connettore 1 6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4.05pt" to="2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">
                <w10:anchorlock/>
              </v:line>
            </w:pict>
          </mc:Fallback>
        </mc:AlternateContent>
      </w:r>
    </w:p>
    <w:p w:rsidR="002E236C" w:rsidRPr="002E236C" w:rsidRDefault="002E236C" w:rsidP="002E236C">
      <w:pPr>
        <w:autoSpaceDE w:val="0"/>
        <w:autoSpaceDN w:val="0"/>
        <w:adjustRightInd w:val="0"/>
        <w:spacing w:after="0" w:line="240" w:lineRule="auto"/>
        <w:rPr>
          <w:rFonts w:ascii="Arial" w:eastAsia="Times New Roman" w:hAnsi="Arial" w:cs="Arial"/>
          <w:sz w:val="24"/>
          <w:szCs w:val="24"/>
          <w:lang w:eastAsia="it-IT"/>
        </w:rPr>
      </w:pPr>
      <w:r w:rsidRPr="002E236C">
        <w:rPr>
          <w:rFonts w:ascii="Arial" w:eastAsia="Times New Roman" w:hAnsi="Arial" w:cs="Arial"/>
          <w:sz w:val="24"/>
          <w:szCs w:val="24"/>
          <w:lang w:eastAsia="it-IT"/>
        </w:rPr>
        <w:t xml:space="preserve">1)  2) Gestione Associata con Unione Comuni </w:t>
      </w:r>
      <w:proofErr w:type="spellStart"/>
      <w:r w:rsidRPr="002E236C">
        <w:rPr>
          <w:rFonts w:ascii="Arial" w:eastAsia="Times New Roman" w:hAnsi="Arial" w:cs="Arial"/>
          <w:sz w:val="24"/>
          <w:szCs w:val="24"/>
          <w:lang w:eastAsia="it-IT"/>
        </w:rPr>
        <w:t>Valdichiana</w:t>
      </w:r>
      <w:proofErr w:type="spellEnd"/>
    </w:p>
    <w:p w:rsidR="002E236C" w:rsidRPr="002E236C" w:rsidRDefault="002E236C" w:rsidP="002E236C">
      <w:pPr>
        <w:autoSpaceDE w:val="0"/>
        <w:autoSpaceDN w:val="0"/>
        <w:adjustRightInd w:val="0"/>
        <w:spacing w:after="0" w:line="240" w:lineRule="auto"/>
        <w:rPr>
          <w:rFonts w:ascii="Arial" w:eastAsia="Times New Roman" w:hAnsi="Arial" w:cs="Arial"/>
          <w:b/>
          <w:bCs/>
          <w:color w:val="000000"/>
          <w:sz w:val="24"/>
          <w:szCs w:val="24"/>
          <w:lang w:eastAsia="it-IT"/>
        </w:rPr>
      </w:pPr>
      <w:r w:rsidRPr="002E236C">
        <w:rPr>
          <w:rFonts w:ascii="Arial" w:eastAsia="Times New Roman" w:hAnsi="Arial" w:cs="Arial"/>
          <w:color w:val="000000"/>
          <w:sz w:val="24"/>
          <w:szCs w:val="24"/>
          <w:lang w:eastAsia="it-IT"/>
        </w:rPr>
        <w:t xml:space="preserve">Torelli Grazia– Responsabile Area                                                                                   </w:t>
      </w:r>
      <w:r w:rsidRPr="002E236C">
        <w:rPr>
          <w:rFonts w:ascii="Arial" w:eastAsia="Times New Roman" w:hAnsi="Arial" w:cs="Arial"/>
          <w:b/>
          <w:bCs/>
          <w:color w:val="000000"/>
          <w:sz w:val="24"/>
          <w:szCs w:val="24"/>
          <w:lang w:eastAsia="it-IT"/>
        </w:rPr>
        <w:t xml:space="preserve">* </w:t>
      </w:r>
    </w:p>
    <w:p w:rsidR="002E236C" w:rsidRPr="002E236C" w:rsidRDefault="002E236C" w:rsidP="002E236C">
      <w:pPr>
        <w:autoSpaceDE w:val="0"/>
        <w:autoSpaceDN w:val="0"/>
        <w:adjustRightInd w:val="0"/>
        <w:spacing w:after="0" w:line="240" w:lineRule="auto"/>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 xml:space="preserve">Lombardelli </w:t>
      </w:r>
      <w:proofErr w:type="gramStart"/>
      <w:r w:rsidRPr="002E236C">
        <w:rPr>
          <w:rFonts w:ascii="Arial" w:eastAsia="Times New Roman" w:hAnsi="Arial" w:cs="Arial"/>
          <w:color w:val="000000"/>
          <w:sz w:val="24"/>
          <w:szCs w:val="24"/>
          <w:lang w:eastAsia="it-IT"/>
        </w:rPr>
        <w:t>Vania  (</w:t>
      </w:r>
      <w:proofErr w:type="gramEnd"/>
      <w:r w:rsidRPr="002E236C">
        <w:rPr>
          <w:rFonts w:ascii="Arial" w:eastAsia="Times New Roman" w:hAnsi="Arial" w:cs="Arial"/>
          <w:color w:val="000000"/>
          <w:sz w:val="24"/>
          <w:szCs w:val="24"/>
          <w:lang w:eastAsia="it-IT"/>
        </w:rPr>
        <w:t>Particolare Posizione)</w:t>
      </w:r>
    </w:p>
    <w:p w:rsidR="002E236C" w:rsidRPr="002E236C" w:rsidRDefault="002E236C" w:rsidP="002E236C">
      <w:pPr>
        <w:autoSpaceDE w:val="0"/>
        <w:autoSpaceDN w:val="0"/>
        <w:adjustRightInd w:val="0"/>
        <w:spacing w:after="0" w:line="240" w:lineRule="auto"/>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lastRenderedPageBreak/>
        <w:t xml:space="preserve">Mancuso Diego </w:t>
      </w: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 xml:space="preserve">Marri Cristina </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Ferretti Valeria</w:t>
      </w: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Sacchetta Domenico</w:t>
      </w: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Baiocchi David *</w:t>
      </w: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Di Casola Adelina</w:t>
      </w: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 xml:space="preserve">Rosignoli Enrica </w:t>
      </w: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Garosi Antonio</w:t>
      </w: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Rossi Anna</w:t>
      </w:r>
    </w:p>
    <w:p w:rsidR="002E236C" w:rsidRPr="002E236C" w:rsidRDefault="002E236C" w:rsidP="002E236C">
      <w:pPr>
        <w:autoSpaceDE w:val="0"/>
        <w:autoSpaceDN w:val="0"/>
        <w:adjustRightInd w:val="0"/>
        <w:spacing w:after="0" w:line="240" w:lineRule="auto"/>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Fusco Celestino</w:t>
      </w:r>
      <w:r w:rsidRPr="002E236C">
        <w:rPr>
          <w:rFonts w:ascii="Arial" w:eastAsia="Times New Roman" w:hAnsi="Arial" w:cs="Arial"/>
          <w:b/>
          <w:bCs/>
          <w:color w:val="000000"/>
          <w:sz w:val="24"/>
          <w:szCs w:val="24"/>
          <w:lang w:eastAsia="it-IT"/>
        </w:rPr>
        <w:t xml:space="preserve"> – </w:t>
      </w:r>
      <w:r w:rsidRPr="002E236C">
        <w:rPr>
          <w:rFonts w:ascii="Arial" w:eastAsia="Times New Roman" w:hAnsi="Arial" w:cs="Arial"/>
          <w:color w:val="000000"/>
          <w:sz w:val="24"/>
          <w:szCs w:val="24"/>
          <w:lang w:eastAsia="it-IT"/>
        </w:rPr>
        <w:t>farmacista</w:t>
      </w:r>
      <w:r w:rsidRPr="002E236C">
        <w:rPr>
          <w:rFonts w:ascii="Arial" w:eastAsia="Times New Roman" w:hAnsi="Arial" w:cs="Arial"/>
          <w:b/>
          <w:bCs/>
          <w:color w:val="000000"/>
          <w:sz w:val="24"/>
          <w:szCs w:val="24"/>
          <w:lang w:eastAsia="it-IT"/>
        </w:rPr>
        <w:t xml:space="preserve"> </w:t>
      </w:r>
      <w:r w:rsidRPr="002E236C">
        <w:rPr>
          <w:rFonts w:ascii="Arial" w:eastAsia="Times New Roman" w:hAnsi="Arial" w:cs="Arial"/>
          <w:color w:val="000000"/>
          <w:sz w:val="24"/>
          <w:szCs w:val="24"/>
          <w:lang w:eastAsia="it-IT"/>
        </w:rPr>
        <w:t>(Particolare Posizione)</w:t>
      </w:r>
    </w:p>
    <w:p w:rsidR="002E236C" w:rsidRPr="002E236C" w:rsidRDefault="002E236C" w:rsidP="002E236C">
      <w:pPr>
        <w:autoSpaceDE w:val="0"/>
        <w:autoSpaceDN w:val="0"/>
        <w:adjustRightInd w:val="0"/>
        <w:spacing w:after="0" w:line="240" w:lineRule="auto"/>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 xml:space="preserve">Funzionario farmacista 60 gg all’anno per sostituzioni (v. piano </w:t>
      </w:r>
      <w:proofErr w:type="spellStart"/>
      <w:r w:rsidRPr="002E236C">
        <w:rPr>
          <w:rFonts w:ascii="Arial" w:eastAsia="Times New Roman" w:hAnsi="Arial" w:cs="Arial"/>
          <w:color w:val="000000"/>
          <w:sz w:val="24"/>
          <w:szCs w:val="24"/>
          <w:lang w:eastAsia="it-IT"/>
        </w:rPr>
        <w:t>assunzionale</w:t>
      </w:r>
      <w:proofErr w:type="spellEnd"/>
      <w:r w:rsidRPr="002E236C">
        <w:rPr>
          <w:rFonts w:ascii="Arial" w:eastAsia="Times New Roman" w:hAnsi="Arial" w:cs="Arial"/>
          <w:color w:val="000000"/>
          <w:sz w:val="24"/>
          <w:szCs w:val="24"/>
          <w:lang w:eastAsia="it-IT"/>
        </w:rPr>
        <w:t xml:space="preserve"> 2016)</w:t>
      </w:r>
    </w:p>
    <w:p w:rsidR="002E236C" w:rsidRPr="002E236C" w:rsidRDefault="002E236C" w:rsidP="002E236C">
      <w:pPr>
        <w:autoSpaceDE w:val="0"/>
        <w:autoSpaceDN w:val="0"/>
        <w:adjustRightInd w:val="0"/>
        <w:spacing w:after="0" w:line="240" w:lineRule="auto"/>
        <w:jc w:val="both"/>
        <w:rPr>
          <w:rFonts w:ascii="Arial" w:eastAsia="Times New Roman" w:hAnsi="Arial" w:cs="Arial"/>
          <w:b/>
          <w:bCs/>
          <w:color w:val="000000"/>
          <w:sz w:val="24"/>
          <w:szCs w:val="24"/>
          <w:lang w:eastAsia="it-IT"/>
        </w:rPr>
      </w:pPr>
      <w:proofErr w:type="spellStart"/>
      <w:r w:rsidRPr="002E236C">
        <w:rPr>
          <w:rFonts w:ascii="Arial" w:eastAsia="Times New Roman" w:hAnsi="Arial" w:cs="Arial"/>
          <w:color w:val="000000"/>
          <w:sz w:val="24"/>
          <w:szCs w:val="24"/>
          <w:lang w:eastAsia="it-IT"/>
        </w:rPr>
        <w:t>Buonafortuna</w:t>
      </w:r>
      <w:proofErr w:type="spellEnd"/>
      <w:r w:rsidRPr="002E236C">
        <w:rPr>
          <w:rFonts w:ascii="Arial" w:eastAsia="Times New Roman" w:hAnsi="Arial" w:cs="Arial"/>
          <w:color w:val="000000"/>
          <w:sz w:val="24"/>
          <w:szCs w:val="24"/>
          <w:lang w:eastAsia="it-IT"/>
        </w:rPr>
        <w:t xml:space="preserve"> Francesca</w:t>
      </w:r>
      <w:r w:rsidRPr="002E236C">
        <w:rPr>
          <w:rFonts w:ascii="Arial" w:eastAsia="Times New Roman" w:hAnsi="Arial" w:cs="Arial"/>
          <w:b/>
          <w:bCs/>
          <w:color w:val="000000"/>
          <w:sz w:val="24"/>
          <w:szCs w:val="24"/>
          <w:lang w:eastAsia="it-IT"/>
        </w:rPr>
        <w:t xml:space="preserve"> </w:t>
      </w:r>
      <w:r w:rsidRPr="002E236C">
        <w:rPr>
          <w:rFonts w:ascii="Arial" w:eastAsia="Times New Roman" w:hAnsi="Arial" w:cs="Arial"/>
          <w:color w:val="000000"/>
          <w:sz w:val="24"/>
          <w:szCs w:val="24"/>
          <w:lang w:eastAsia="it-IT"/>
        </w:rPr>
        <w:t>(Particolare Posizione)</w:t>
      </w: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Bernardini Emanuela</w:t>
      </w: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 xml:space="preserve">1 Istruttore </w:t>
      </w:r>
      <w:proofErr w:type="spellStart"/>
      <w:r w:rsidRPr="002E236C">
        <w:rPr>
          <w:rFonts w:ascii="Arial" w:eastAsia="Times New Roman" w:hAnsi="Arial" w:cs="Arial"/>
          <w:color w:val="000000"/>
          <w:sz w:val="24"/>
          <w:szCs w:val="24"/>
          <w:lang w:eastAsia="it-IT"/>
        </w:rPr>
        <w:t>Amm.vo</w:t>
      </w:r>
      <w:proofErr w:type="spellEnd"/>
      <w:r w:rsidRPr="002E236C">
        <w:rPr>
          <w:rFonts w:ascii="Arial" w:eastAsia="Times New Roman" w:hAnsi="Arial" w:cs="Arial"/>
          <w:color w:val="000000"/>
          <w:sz w:val="24"/>
          <w:szCs w:val="24"/>
          <w:lang w:eastAsia="it-IT"/>
        </w:rPr>
        <w:t xml:space="preserve"> contabile full-time per un anno (v. piano </w:t>
      </w:r>
      <w:proofErr w:type="spellStart"/>
      <w:r w:rsidRPr="002E236C">
        <w:rPr>
          <w:rFonts w:ascii="Arial" w:eastAsia="Times New Roman" w:hAnsi="Arial" w:cs="Arial"/>
          <w:color w:val="000000"/>
          <w:sz w:val="24"/>
          <w:szCs w:val="24"/>
          <w:lang w:eastAsia="it-IT"/>
        </w:rPr>
        <w:t>assunzionale</w:t>
      </w:r>
      <w:proofErr w:type="spellEnd"/>
      <w:r w:rsidRPr="002E236C">
        <w:rPr>
          <w:rFonts w:ascii="Arial" w:eastAsia="Times New Roman" w:hAnsi="Arial" w:cs="Arial"/>
          <w:color w:val="000000"/>
          <w:sz w:val="24"/>
          <w:szCs w:val="24"/>
          <w:lang w:eastAsia="it-IT"/>
        </w:rPr>
        <w:t xml:space="preserve"> 2016)</w:t>
      </w: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 xml:space="preserve">Serafini </w:t>
      </w:r>
      <w:proofErr w:type="gramStart"/>
      <w:r w:rsidRPr="002E236C">
        <w:rPr>
          <w:rFonts w:ascii="Arial" w:eastAsia="Times New Roman" w:hAnsi="Arial" w:cs="Arial"/>
          <w:color w:val="000000"/>
          <w:sz w:val="24"/>
          <w:szCs w:val="24"/>
          <w:lang w:eastAsia="it-IT"/>
        </w:rPr>
        <w:t>Donatella  (</w:t>
      </w:r>
      <w:proofErr w:type="gramEnd"/>
      <w:r w:rsidRPr="002E236C">
        <w:rPr>
          <w:rFonts w:ascii="Arial" w:eastAsia="Times New Roman" w:hAnsi="Arial" w:cs="Arial"/>
          <w:color w:val="000000"/>
          <w:sz w:val="24"/>
          <w:szCs w:val="24"/>
          <w:lang w:eastAsia="it-IT"/>
        </w:rPr>
        <w:t>Particolare Posizione)*</w:t>
      </w:r>
    </w:p>
    <w:p w:rsidR="002E236C" w:rsidRPr="002E236C" w:rsidRDefault="002E236C" w:rsidP="002E236C">
      <w:pPr>
        <w:autoSpaceDE w:val="0"/>
        <w:autoSpaceDN w:val="0"/>
        <w:adjustRightInd w:val="0"/>
        <w:spacing w:after="0" w:line="240" w:lineRule="auto"/>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 xml:space="preserve">Giulianelli Graziella </w:t>
      </w:r>
    </w:p>
    <w:p w:rsidR="002E236C" w:rsidRPr="002E236C" w:rsidRDefault="002E236C" w:rsidP="002E236C">
      <w:pPr>
        <w:autoSpaceDE w:val="0"/>
        <w:autoSpaceDN w:val="0"/>
        <w:adjustRightInd w:val="0"/>
        <w:spacing w:after="0" w:line="240" w:lineRule="auto"/>
        <w:rPr>
          <w:rFonts w:ascii="Arial" w:eastAsia="Times New Roman" w:hAnsi="Arial" w:cs="Arial"/>
          <w:b/>
          <w:bCs/>
          <w:color w:val="000000"/>
          <w:sz w:val="24"/>
          <w:szCs w:val="24"/>
          <w:lang w:eastAsia="it-IT"/>
        </w:rPr>
      </w:pPr>
      <w:proofErr w:type="spellStart"/>
      <w:r w:rsidRPr="002E236C">
        <w:rPr>
          <w:rFonts w:ascii="Arial" w:eastAsia="Times New Roman" w:hAnsi="Arial" w:cs="Arial"/>
          <w:color w:val="000000"/>
          <w:sz w:val="24"/>
          <w:szCs w:val="24"/>
          <w:lang w:eastAsia="it-IT"/>
        </w:rPr>
        <w:t>Giomarelli</w:t>
      </w:r>
      <w:proofErr w:type="spellEnd"/>
      <w:r w:rsidRPr="002E236C">
        <w:rPr>
          <w:rFonts w:ascii="Arial" w:eastAsia="Times New Roman" w:hAnsi="Arial" w:cs="Arial"/>
          <w:color w:val="000000"/>
          <w:sz w:val="24"/>
          <w:szCs w:val="24"/>
          <w:lang w:eastAsia="it-IT"/>
        </w:rPr>
        <w:t xml:space="preserve"> Alberto</w:t>
      </w:r>
      <w:r w:rsidRPr="002E236C">
        <w:rPr>
          <w:rFonts w:ascii="Arial" w:eastAsia="Times New Roman" w:hAnsi="Arial" w:cs="Arial"/>
          <w:b/>
          <w:bCs/>
          <w:color w:val="000000"/>
          <w:sz w:val="24"/>
          <w:szCs w:val="24"/>
          <w:lang w:eastAsia="it-IT"/>
        </w:rPr>
        <w:t xml:space="preserve">                                                                                                      </w:t>
      </w:r>
    </w:p>
    <w:p w:rsidR="002E236C" w:rsidRPr="002E236C" w:rsidRDefault="002E236C" w:rsidP="002E236C">
      <w:pPr>
        <w:autoSpaceDE w:val="0"/>
        <w:autoSpaceDN w:val="0"/>
        <w:adjustRightInd w:val="0"/>
        <w:spacing w:after="0" w:line="240" w:lineRule="auto"/>
        <w:rPr>
          <w:rFonts w:ascii="Arial" w:eastAsia="Times New Roman" w:hAnsi="Arial" w:cs="Arial"/>
          <w:sz w:val="24"/>
          <w:szCs w:val="24"/>
          <w:lang w:eastAsia="it-IT"/>
        </w:rPr>
      </w:pPr>
      <w:r w:rsidRPr="002E236C">
        <w:rPr>
          <w:rFonts w:ascii="Arial" w:eastAsia="Times New Roman" w:hAnsi="Arial" w:cs="Arial"/>
          <w:sz w:val="24"/>
          <w:szCs w:val="24"/>
          <w:lang w:eastAsia="it-IT"/>
        </w:rPr>
        <w:t>Pagnotta Luigi</w:t>
      </w:r>
    </w:p>
    <w:p w:rsidR="002E236C" w:rsidRPr="002E236C" w:rsidRDefault="002E236C" w:rsidP="002E236C">
      <w:pPr>
        <w:autoSpaceDE w:val="0"/>
        <w:autoSpaceDN w:val="0"/>
        <w:adjustRightInd w:val="0"/>
        <w:spacing w:after="0" w:line="240" w:lineRule="auto"/>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*Personale comandato presso SUAP (Unione dei Comuni) con 30 ore settimanali</w:t>
      </w: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73600" behindDoc="0" locked="1" layoutInCell="1" allowOverlap="1">
                <wp:simplePos x="0" y="0"/>
                <wp:positionH relativeFrom="column">
                  <wp:posOffset>1600200</wp:posOffset>
                </wp:positionH>
                <wp:positionV relativeFrom="paragraph">
                  <wp:posOffset>0</wp:posOffset>
                </wp:positionV>
                <wp:extent cx="2514600" cy="887730"/>
                <wp:effectExtent l="5715" t="6350" r="13335" b="10795"/>
                <wp:wrapNone/>
                <wp:docPr id="62" name="Casella di tes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87730"/>
                        </a:xfrm>
                        <a:prstGeom prst="rect">
                          <a:avLst/>
                        </a:prstGeom>
                        <a:solidFill>
                          <a:srgbClr val="FFFFFF"/>
                        </a:solidFill>
                        <a:ln w="9525">
                          <a:solidFill>
                            <a:srgbClr val="000000"/>
                          </a:solidFill>
                          <a:miter lim="800000"/>
                          <a:headEnd/>
                          <a:tailEnd/>
                        </a:ln>
                      </wps:spPr>
                      <wps:txbx>
                        <w:txbxContent>
                          <w:p w:rsidR="001406AD" w:rsidRDefault="001406AD" w:rsidP="002E236C">
                            <w:pPr>
                              <w:jc w:val="center"/>
                              <w:rPr>
                                <w:color w:val="FF0000"/>
                              </w:rPr>
                            </w:pPr>
                            <w:r>
                              <w:rPr>
                                <w:color w:val="FF0000"/>
                              </w:rPr>
                              <w:t>AREA</w:t>
                            </w:r>
                          </w:p>
                          <w:p w:rsidR="001406AD" w:rsidRDefault="001406AD" w:rsidP="002E236C">
                            <w:pPr>
                              <w:jc w:val="center"/>
                              <w:rPr>
                                <w:color w:val="FF0000"/>
                              </w:rPr>
                            </w:pPr>
                            <w:r>
                              <w:rPr>
                                <w:color w:val="FF0000"/>
                              </w:rPr>
                              <w:t>SERVIZI ALLA PERSONA</w:t>
                            </w:r>
                          </w:p>
                          <w:p w:rsidR="001406AD" w:rsidRPr="004B5DF9" w:rsidRDefault="001406AD" w:rsidP="002E236C">
                            <w:pPr>
                              <w:jc w:val="center"/>
                              <w:rPr>
                                <w:color w:val="FF0000"/>
                              </w:rPr>
                            </w:pPr>
                            <w:r>
                              <w:rPr>
                                <w:color w:val="FF0000"/>
                              </w:rPr>
                              <w:t>CULTURA SPORT ASSOCIAZIONI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2" o:spid="_x0000_s1034" type="#_x0000_t202" style="position:absolute;margin-left:126pt;margin-top:0;width:198pt;height:6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">
                <v:textbox>
                  <w:txbxContent>
                    <w:p w:rsidR="001406AD" w:rsidRDefault="001406AD" w:rsidP="002E236C">
                      <w:pPr>
                        <w:jc w:val="center"/>
                        <w:rPr>
                          <w:color w:val="FF0000"/>
                        </w:rPr>
                      </w:pPr>
                      <w:r>
                        <w:rPr>
                          <w:color w:val="FF0000"/>
                        </w:rPr>
                        <w:t>AREA</w:t>
                      </w:r>
                    </w:p>
                    <w:p w:rsidR="001406AD" w:rsidRDefault="001406AD" w:rsidP="002E236C">
                      <w:pPr>
                        <w:jc w:val="center"/>
                        <w:rPr>
                          <w:color w:val="FF0000"/>
                        </w:rPr>
                      </w:pPr>
                      <w:r>
                        <w:rPr>
                          <w:color w:val="FF0000"/>
                        </w:rPr>
                        <w:t>SERVIZI ALLA PERSONA</w:t>
                      </w:r>
                    </w:p>
                    <w:p w:rsidR="001406AD" w:rsidRPr="004B5DF9" w:rsidRDefault="001406AD" w:rsidP="002E236C">
                      <w:pPr>
                        <w:jc w:val="center"/>
                        <w:rPr>
                          <w:color w:val="FF0000"/>
                        </w:rPr>
                      </w:pPr>
                      <w:r>
                        <w:rPr>
                          <w:color w:val="FF0000"/>
                        </w:rPr>
                        <w:t>CULTURA SPORT ASSOCIAZIONI</w:t>
                      </w:r>
                    </w:p>
                  </w:txbxContent>
                </v:textbox>
                <w10:anchorlock/>
              </v:shape>
            </w:pict>
          </mc:Fallback>
        </mc:AlternateContent>
      </w: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t xml:space="preserve">         </w:t>
      </w:r>
      <w:r w:rsidRPr="002E236C">
        <w:rPr>
          <w:rFonts w:ascii="Arial" w:eastAsia="Times New Roman" w:hAnsi="Arial" w:cs="Arial"/>
          <w:sz w:val="24"/>
          <w:szCs w:val="24"/>
          <w:lang w:eastAsia="it-IT"/>
        </w:rPr>
        <w:t>Servizi sociali</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69504" behindDoc="0" locked="1" layoutInCell="1" allowOverlap="1">
                <wp:simplePos x="0" y="0"/>
                <wp:positionH relativeFrom="column">
                  <wp:posOffset>2569845</wp:posOffset>
                </wp:positionH>
                <wp:positionV relativeFrom="paragraph">
                  <wp:posOffset>3175</wp:posOffset>
                </wp:positionV>
                <wp:extent cx="457200" cy="0"/>
                <wp:effectExtent l="13335" t="57785" r="15240" b="56515"/>
                <wp:wrapNone/>
                <wp:docPr id="61" name="Connettore 1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CB78C" id="Connettore 1 6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25pt" to="238.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">
                <v:stroke endarrow="block"/>
                <w10:anchorlock/>
              </v:line>
            </w:pict>
          </mc:Fallback>
        </mc:AlternateContent>
      </w: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68480" behindDoc="0" locked="1" layoutInCell="1" allowOverlap="1">
                <wp:simplePos x="0" y="0"/>
                <wp:positionH relativeFrom="column">
                  <wp:posOffset>2565400</wp:posOffset>
                </wp:positionH>
                <wp:positionV relativeFrom="paragraph">
                  <wp:posOffset>0</wp:posOffset>
                </wp:positionV>
                <wp:extent cx="9525" cy="3095625"/>
                <wp:effectExtent l="0" t="0" r="28575" b="28575"/>
                <wp:wrapNone/>
                <wp:docPr id="60" name="Connettore 1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95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C1183" id="Connettore 1 6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0" to="202.75pt,2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">
                <w10:anchorlock/>
              </v:line>
            </w:pict>
          </mc:Fallback>
        </mc:AlternateContent>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t>Assistenza Anziani</w:t>
      </w:r>
    </w:p>
    <w:p w:rsidR="002E236C" w:rsidRPr="002E236C" w:rsidRDefault="002E236C" w:rsidP="002E236C">
      <w:pPr>
        <w:autoSpaceDE w:val="0"/>
        <w:autoSpaceDN w:val="0"/>
        <w:adjustRightInd w:val="0"/>
        <w:spacing w:after="0" w:line="240" w:lineRule="auto"/>
        <w:ind w:left="4947"/>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Politiche per l’infanzia</w:t>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t xml:space="preserve">                    Asilo Nido</w:t>
      </w:r>
    </w:p>
    <w:p w:rsidR="002E236C" w:rsidRPr="002E236C" w:rsidRDefault="002E236C" w:rsidP="002E236C">
      <w:pPr>
        <w:autoSpaceDE w:val="0"/>
        <w:autoSpaceDN w:val="0"/>
        <w:adjustRightInd w:val="0"/>
        <w:spacing w:after="0" w:line="240" w:lineRule="auto"/>
        <w:ind w:left="4248" w:firstLine="708"/>
        <w:jc w:val="both"/>
        <w:rPr>
          <w:rFonts w:ascii="Arial" w:eastAsia="Times New Roman" w:hAnsi="Arial" w:cs="Arial"/>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87936" behindDoc="0" locked="1" layoutInCell="1" allowOverlap="1">
                <wp:simplePos x="0" y="0"/>
                <wp:positionH relativeFrom="column">
                  <wp:posOffset>-325755</wp:posOffset>
                </wp:positionH>
                <wp:positionV relativeFrom="paragraph">
                  <wp:posOffset>-2540</wp:posOffset>
                </wp:positionV>
                <wp:extent cx="1981200" cy="609600"/>
                <wp:effectExtent l="13335" t="9525" r="5715" b="9525"/>
                <wp:wrapNone/>
                <wp:docPr id="59" name="Casella di tes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09600"/>
                        </a:xfrm>
                        <a:prstGeom prst="rect">
                          <a:avLst/>
                        </a:prstGeom>
                        <a:solidFill>
                          <a:srgbClr val="FFFFFF"/>
                        </a:solidFill>
                        <a:ln w="9525">
                          <a:solidFill>
                            <a:srgbClr val="000000"/>
                          </a:solidFill>
                          <a:miter lim="800000"/>
                          <a:headEnd/>
                          <a:tailEnd/>
                        </a:ln>
                      </wps:spPr>
                      <wps:txbx>
                        <w:txbxContent>
                          <w:p w:rsidR="001406AD" w:rsidRPr="003E621E" w:rsidRDefault="001406AD" w:rsidP="002E236C">
                            <w:pPr>
                              <w:rPr>
                                <w:color w:val="FF0000"/>
                                <w:sz w:val="20"/>
                                <w:szCs w:val="20"/>
                              </w:rPr>
                            </w:pPr>
                            <w:r>
                              <w:rPr>
                                <w:color w:val="FF0000"/>
                                <w:sz w:val="20"/>
                                <w:szCs w:val="20"/>
                              </w:rPr>
                              <w:t>SERVIZI ALLA PERSONA CULTURA SPORT E ASSOCIAZIONI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59" o:spid="_x0000_s1035" type="#_x0000_t202" style="position:absolute;left:0;text-align:left;margin-left:-25.65pt;margin-top:-.2pt;width:156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">
                <v:textbox>
                  <w:txbxContent>
                    <w:p w:rsidR="001406AD" w:rsidRPr="003E621E" w:rsidRDefault="001406AD" w:rsidP="002E236C">
                      <w:pPr>
                        <w:rPr>
                          <w:color w:val="FF0000"/>
                          <w:sz w:val="20"/>
                          <w:szCs w:val="20"/>
                        </w:rPr>
                      </w:pPr>
                      <w:r>
                        <w:rPr>
                          <w:color w:val="FF0000"/>
                          <w:sz w:val="20"/>
                          <w:szCs w:val="20"/>
                        </w:rPr>
                        <w:t>SERVIZI ALLA PERSONA CULTURA SPORT E ASSOCIAZIONI</w:t>
                      </w:r>
                    </w:p>
                  </w:txbxContent>
                </v:textbox>
                <w10:anchorlock/>
              </v:shape>
            </w:pict>
          </mc:Fallback>
        </mc:AlternateContent>
      </w:r>
      <w:r w:rsidRPr="002E236C">
        <w:rPr>
          <w:rFonts w:ascii="Arial" w:eastAsia="Times New Roman" w:hAnsi="Arial" w:cs="Arial"/>
          <w:sz w:val="24"/>
          <w:szCs w:val="24"/>
          <w:lang w:eastAsia="it-IT"/>
        </w:rPr>
        <w:t>Sport/Tempo Libero</w:t>
      </w:r>
    </w:p>
    <w:p w:rsidR="002E236C" w:rsidRPr="002E236C" w:rsidRDefault="002E236C" w:rsidP="002E236C">
      <w:pPr>
        <w:autoSpaceDE w:val="0"/>
        <w:autoSpaceDN w:val="0"/>
        <w:adjustRightInd w:val="0"/>
        <w:spacing w:after="0" w:line="240" w:lineRule="auto"/>
        <w:jc w:val="both"/>
        <w:rPr>
          <w:rFonts w:ascii="Arial" w:eastAsia="Times New Roman" w:hAnsi="Arial" w:cs="Arial"/>
          <w:color w:val="FF0000"/>
          <w:sz w:val="24"/>
          <w:szCs w:val="24"/>
          <w:lang w:eastAsia="it-IT"/>
        </w:rPr>
      </w:pPr>
      <w:r w:rsidRPr="002E236C">
        <w:rPr>
          <w:rFonts w:ascii="Arial" w:eastAsia="Times New Roman" w:hAnsi="Arial" w:cs="Arial"/>
          <w:color w:val="FF0000"/>
          <w:sz w:val="24"/>
          <w:szCs w:val="24"/>
          <w:lang w:eastAsia="it-IT"/>
        </w:rPr>
        <w:t xml:space="preserve">                                </w:t>
      </w:r>
      <w:r w:rsidRPr="002E236C">
        <w:rPr>
          <w:rFonts w:ascii="Arial" w:eastAsia="Times New Roman" w:hAnsi="Arial" w:cs="Arial"/>
          <w:color w:val="FF0000"/>
          <w:sz w:val="24"/>
          <w:szCs w:val="24"/>
          <w:lang w:eastAsia="it-IT"/>
        </w:rPr>
        <w:tab/>
      </w:r>
      <w:r w:rsidRPr="002E236C">
        <w:rPr>
          <w:rFonts w:ascii="Arial" w:eastAsia="Times New Roman" w:hAnsi="Arial" w:cs="Arial"/>
          <w:color w:val="FF0000"/>
          <w:sz w:val="24"/>
          <w:szCs w:val="24"/>
          <w:lang w:eastAsia="it-IT"/>
        </w:rPr>
        <w:tab/>
      </w:r>
      <w:r w:rsidRPr="002E236C">
        <w:rPr>
          <w:rFonts w:ascii="Arial" w:eastAsia="Times New Roman" w:hAnsi="Arial" w:cs="Arial"/>
          <w:color w:val="FF0000"/>
          <w:sz w:val="24"/>
          <w:szCs w:val="24"/>
          <w:lang w:eastAsia="it-IT"/>
        </w:rPr>
        <w:tab/>
      </w:r>
      <w:r w:rsidRPr="002E236C">
        <w:rPr>
          <w:rFonts w:ascii="Arial" w:eastAsia="Times New Roman" w:hAnsi="Arial" w:cs="Arial"/>
          <w:color w:val="FF0000"/>
          <w:sz w:val="24"/>
          <w:szCs w:val="24"/>
          <w:lang w:eastAsia="it-IT"/>
        </w:rPr>
        <w:tab/>
      </w:r>
      <w:r w:rsidRPr="002E236C">
        <w:rPr>
          <w:rFonts w:ascii="Arial" w:eastAsia="Times New Roman" w:hAnsi="Arial" w:cs="Arial"/>
          <w:sz w:val="24"/>
          <w:szCs w:val="24"/>
          <w:lang w:eastAsia="it-IT"/>
        </w:rPr>
        <w:t>Verifica pagamenti servizi di competenza</w:t>
      </w:r>
    </w:p>
    <w:p w:rsidR="002E236C" w:rsidRPr="002E236C" w:rsidRDefault="002E236C" w:rsidP="002E236C">
      <w:pPr>
        <w:tabs>
          <w:tab w:val="center" w:pos="4819"/>
        </w:tabs>
        <w:autoSpaceDE w:val="0"/>
        <w:autoSpaceDN w:val="0"/>
        <w:adjustRightInd w:val="0"/>
        <w:spacing w:after="0" w:line="240" w:lineRule="auto"/>
        <w:jc w:val="both"/>
        <w:rPr>
          <w:rFonts w:ascii="Arial" w:eastAsia="Times New Roman" w:hAnsi="Arial" w:cs="Arial"/>
          <w:color w:val="FF0000"/>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88960" behindDoc="0" locked="1" layoutInCell="1" allowOverlap="1">
                <wp:simplePos x="0" y="0"/>
                <wp:positionH relativeFrom="column">
                  <wp:posOffset>1731645</wp:posOffset>
                </wp:positionH>
                <wp:positionV relativeFrom="paragraph">
                  <wp:posOffset>69850</wp:posOffset>
                </wp:positionV>
                <wp:extent cx="838200" cy="0"/>
                <wp:effectExtent l="13335" t="13335" r="5715" b="5715"/>
                <wp:wrapNone/>
                <wp:docPr id="58" name="Connettore 1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8DA2F" id="Connettore 1 5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5pt,5.5pt" to="202.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">
                <w10:anchorlock/>
              </v:line>
            </w:pict>
          </mc:Fallback>
        </mc:AlternateContent>
      </w:r>
      <w:r w:rsidRPr="002E236C">
        <w:rPr>
          <w:rFonts w:ascii="Arial" w:eastAsia="Times New Roman" w:hAnsi="Arial" w:cs="Arial"/>
          <w:color w:val="FF0000"/>
          <w:sz w:val="24"/>
          <w:szCs w:val="24"/>
          <w:lang w:eastAsia="it-IT"/>
        </w:rPr>
        <w:tab/>
        <w:t xml:space="preserve">                                         </w:t>
      </w:r>
    </w:p>
    <w:p w:rsidR="002E236C" w:rsidRPr="002E236C" w:rsidRDefault="002E236C" w:rsidP="002E236C">
      <w:pPr>
        <w:autoSpaceDE w:val="0"/>
        <w:autoSpaceDN w:val="0"/>
        <w:adjustRightInd w:val="0"/>
        <w:spacing w:after="0" w:line="240" w:lineRule="auto"/>
        <w:jc w:val="both"/>
        <w:rPr>
          <w:rFonts w:ascii="Arial" w:eastAsia="Times New Roman" w:hAnsi="Arial" w:cs="Arial"/>
          <w:color w:val="FF0000"/>
          <w:sz w:val="24"/>
          <w:szCs w:val="24"/>
          <w:lang w:eastAsia="it-IT"/>
        </w:rPr>
      </w:pPr>
    </w:p>
    <w:p w:rsidR="002E236C" w:rsidRPr="002E236C" w:rsidRDefault="002E236C" w:rsidP="002E236C">
      <w:pPr>
        <w:autoSpaceDE w:val="0"/>
        <w:autoSpaceDN w:val="0"/>
        <w:adjustRightInd w:val="0"/>
        <w:spacing w:after="0" w:line="240" w:lineRule="auto"/>
        <w:jc w:val="both"/>
        <w:rPr>
          <w:rFonts w:ascii="Arial" w:eastAsia="Times New Roman" w:hAnsi="Arial" w:cs="Arial"/>
          <w:color w:val="FF0000"/>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71552" behindDoc="0" locked="1" layoutInCell="1" allowOverlap="1">
                <wp:simplePos x="0" y="0"/>
                <wp:positionH relativeFrom="column">
                  <wp:posOffset>2569845</wp:posOffset>
                </wp:positionH>
                <wp:positionV relativeFrom="paragraph">
                  <wp:posOffset>142240</wp:posOffset>
                </wp:positionV>
                <wp:extent cx="457200" cy="0"/>
                <wp:effectExtent l="13335" t="55245" r="15240" b="59055"/>
                <wp:wrapNone/>
                <wp:docPr id="57" name="Connettore 1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03380" id="Connettore 1 5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11.2pt" to="238.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">
                <v:stroke endarrow="block"/>
                <w10:anchorlock/>
              </v:line>
            </w:pict>
          </mc:Fallback>
        </mc:AlternateContent>
      </w:r>
      <w:r w:rsidRPr="002E236C">
        <w:rPr>
          <w:rFonts w:ascii="Arial" w:eastAsia="Times New Roman" w:hAnsi="Arial" w:cs="Arial"/>
          <w:color w:val="FF0000"/>
          <w:sz w:val="24"/>
          <w:szCs w:val="24"/>
          <w:lang w:eastAsia="it-IT"/>
        </w:rPr>
        <w:tab/>
      </w:r>
      <w:r w:rsidRPr="002E236C">
        <w:rPr>
          <w:rFonts w:ascii="Arial" w:eastAsia="Times New Roman" w:hAnsi="Arial" w:cs="Arial"/>
          <w:color w:val="FF0000"/>
          <w:sz w:val="24"/>
          <w:szCs w:val="24"/>
          <w:lang w:eastAsia="it-IT"/>
        </w:rPr>
        <w:tab/>
      </w:r>
      <w:r w:rsidRPr="002E236C">
        <w:rPr>
          <w:rFonts w:ascii="Arial" w:eastAsia="Times New Roman" w:hAnsi="Arial" w:cs="Arial"/>
          <w:color w:val="FF0000"/>
          <w:sz w:val="24"/>
          <w:szCs w:val="24"/>
          <w:lang w:eastAsia="it-IT"/>
        </w:rPr>
        <w:tab/>
        <w:t xml:space="preserve">           </w:t>
      </w:r>
      <w:r w:rsidRPr="002E236C">
        <w:rPr>
          <w:rFonts w:ascii="Arial" w:eastAsia="Times New Roman" w:hAnsi="Arial" w:cs="Arial"/>
          <w:color w:val="FF0000"/>
          <w:sz w:val="24"/>
          <w:szCs w:val="24"/>
          <w:lang w:eastAsia="it-IT"/>
        </w:rPr>
        <w:tab/>
      </w:r>
      <w:r w:rsidRPr="002E236C">
        <w:rPr>
          <w:rFonts w:ascii="Arial" w:eastAsia="Times New Roman" w:hAnsi="Arial" w:cs="Arial"/>
          <w:color w:val="FF0000"/>
          <w:sz w:val="24"/>
          <w:szCs w:val="24"/>
          <w:lang w:eastAsia="it-IT"/>
        </w:rPr>
        <w:tab/>
      </w:r>
      <w:r w:rsidRPr="002E236C">
        <w:rPr>
          <w:rFonts w:ascii="Arial" w:eastAsia="Times New Roman" w:hAnsi="Arial" w:cs="Arial"/>
          <w:color w:val="FF0000"/>
          <w:sz w:val="24"/>
          <w:szCs w:val="24"/>
          <w:lang w:eastAsia="it-IT"/>
        </w:rPr>
        <w:tab/>
      </w:r>
      <w:r w:rsidRPr="002E236C">
        <w:rPr>
          <w:rFonts w:ascii="Arial" w:eastAsia="Times New Roman" w:hAnsi="Arial" w:cs="Arial"/>
          <w:sz w:val="24"/>
          <w:szCs w:val="24"/>
          <w:lang w:eastAsia="it-IT"/>
        </w:rPr>
        <w:t>Pubblica Istruzione</w:t>
      </w:r>
      <w:r w:rsidRPr="002E236C">
        <w:rPr>
          <w:rFonts w:ascii="Arial" w:eastAsia="Times New Roman" w:hAnsi="Arial" w:cs="Arial"/>
          <w:color w:val="FF0000"/>
          <w:sz w:val="24"/>
          <w:szCs w:val="24"/>
          <w:lang w:eastAsia="it-IT"/>
        </w:rPr>
        <w:t xml:space="preserve">   </w:t>
      </w:r>
    </w:p>
    <w:p w:rsidR="002E236C" w:rsidRPr="002E236C" w:rsidRDefault="002E236C" w:rsidP="002E236C">
      <w:pPr>
        <w:autoSpaceDE w:val="0"/>
        <w:autoSpaceDN w:val="0"/>
        <w:adjustRightInd w:val="0"/>
        <w:spacing w:after="0" w:line="240" w:lineRule="auto"/>
        <w:jc w:val="both"/>
        <w:rPr>
          <w:rFonts w:ascii="Arial" w:eastAsia="Times New Roman" w:hAnsi="Arial" w:cs="Arial"/>
          <w:color w:val="FF0000"/>
          <w:sz w:val="24"/>
          <w:szCs w:val="24"/>
          <w:lang w:eastAsia="it-IT"/>
        </w:rPr>
      </w:pP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t>Assistenza Scolastica</w:t>
      </w:r>
      <w:r w:rsidRPr="002E236C">
        <w:rPr>
          <w:rFonts w:ascii="Arial" w:eastAsia="Times New Roman" w:hAnsi="Arial" w:cs="Arial"/>
          <w:sz w:val="24"/>
          <w:szCs w:val="24"/>
          <w:lang w:eastAsia="it-IT"/>
        </w:rPr>
        <w:tab/>
      </w:r>
      <w:r w:rsidRPr="002E236C">
        <w:rPr>
          <w:rFonts w:ascii="Arial" w:eastAsia="Times New Roman" w:hAnsi="Arial" w:cs="Arial"/>
          <w:color w:val="FF0000"/>
          <w:sz w:val="24"/>
          <w:szCs w:val="24"/>
          <w:lang w:eastAsia="it-IT"/>
        </w:rPr>
        <w:t xml:space="preserve">    </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67456" behindDoc="0" locked="1" layoutInCell="1" allowOverlap="1">
                <wp:simplePos x="0" y="0"/>
                <wp:positionH relativeFrom="column">
                  <wp:posOffset>1600200</wp:posOffset>
                </wp:positionH>
                <wp:positionV relativeFrom="paragraph">
                  <wp:posOffset>132715</wp:posOffset>
                </wp:positionV>
                <wp:extent cx="0" cy="0"/>
                <wp:effectExtent l="5715" t="5715" r="13335" b="13335"/>
                <wp:wrapNone/>
                <wp:docPr id="56" name="Connettore 1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7ED21" id="Connettore 1 5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45pt" to="12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">
                <w10:anchorlock/>
              </v:line>
            </w:pict>
          </mc:Fallback>
        </mc:AlternateContent>
      </w:r>
      <w:r w:rsidRPr="002E236C">
        <w:rPr>
          <w:rFonts w:ascii="Arial" w:eastAsia="Times New Roman" w:hAnsi="Arial" w:cs="Arial"/>
          <w:color w:val="FF0000"/>
          <w:sz w:val="24"/>
          <w:szCs w:val="24"/>
          <w:lang w:eastAsia="it-IT"/>
        </w:rPr>
        <w:t xml:space="preserve">         </w:t>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t>Trasporto Alunni</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89984" behindDoc="0" locked="1" layoutInCell="1" allowOverlap="1">
                <wp:simplePos x="0" y="0"/>
                <wp:positionH relativeFrom="column">
                  <wp:posOffset>2569845</wp:posOffset>
                </wp:positionH>
                <wp:positionV relativeFrom="paragraph">
                  <wp:posOffset>133985</wp:posOffset>
                </wp:positionV>
                <wp:extent cx="457200" cy="0"/>
                <wp:effectExtent l="13335" t="52705" r="15240" b="61595"/>
                <wp:wrapNone/>
                <wp:docPr id="55" name="Connettore 1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C122B" id="Connettore 1 5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10.55pt" to="238.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">
                <v:stroke endarrow="block"/>
                <w10:anchorlock/>
              </v:line>
            </w:pict>
          </mc:Fallback>
        </mc:AlternateContent>
      </w:r>
      <w:r w:rsidRPr="002E236C">
        <w:rPr>
          <w:rFonts w:ascii="Arial" w:eastAsia="Times New Roman" w:hAnsi="Arial" w:cs="Arial"/>
          <w:sz w:val="24"/>
          <w:szCs w:val="24"/>
          <w:lang w:eastAsia="it-IT"/>
        </w:rPr>
        <w:t xml:space="preserve">    </w:t>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t>Attività culturali/Teatro</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70528" behindDoc="0" locked="1" layoutInCell="1" allowOverlap="1">
                <wp:simplePos x="0" y="0"/>
                <wp:positionH relativeFrom="column">
                  <wp:posOffset>2628900</wp:posOffset>
                </wp:positionH>
                <wp:positionV relativeFrom="paragraph">
                  <wp:posOffset>8255</wp:posOffset>
                </wp:positionV>
                <wp:extent cx="0" cy="0"/>
                <wp:effectExtent l="5715" t="6985" r="13335" b="12065"/>
                <wp:wrapNone/>
                <wp:docPr id="54" name="Connettore 1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CD9D0" id="Connettore 1 5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5pt" to="20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">
                <w10:anchorlock/>
              </v:line>
            </w:pict>
          </mc:Fallback>
        </mc:AlternateContent>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t>Biblioteca Comunale</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t>Museo</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t>Politica della casa</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91008" behindDoc="0" locked="1" layoutInCell="1" allowOverlap="1">
                <wp:simplePos x="0" y="0"/>
                <wp:positionH relativeFrom="column">
                  <wp:posOffset>2569845</wp:posOffset>
                </wp:positionH>
                <wp:positionV relativeFrom="paragraph">
                  <wp:posOffset>124460</wp:posOffset>
                </wp:positionV>
                <wp:extent cx="457200" cy="0"/>
                <wp:effectExtent l="13335" t="52705" r="15240" b="61595"/>
                <wp:wrapNone/>
                <wp:docPr id="53" name="Connettore 1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59217" id="Connettore 1 5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9.8pt" to="238.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">
                <v:stroke endarrow="block"/>
                <w10:anchorlock/>
              </v:line>
            </w:pict>
          </mc:Fallback>
        </mc:AlternateContent>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t>Politiche Giovanili</w:t>
      </w: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0"/>
          <w:szCs w:val="20"/>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0"/>
          <w:szCs w:val="20"/>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0"/>
          <w:szCs w:val="20"/>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0"/>
          <w:szCs w:val="20"/>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0"/>
          <w:szCs w:val="20"/>
          <w:lang w:eastAsia="it-IT"/>
        </w:rPr>
      </w:pPr>
    </w:p>
    <w:p w:rsidR="002E236C" w:rsidRPr="002E236C" w:rsidRDefault="002E236C" w:rsidP="002E236C">
      <w:pPr>
        <w:autoSpaceDE w:val="0"/>
        <w:autoSpaceDN w:val="0"/>
        <w:adjustRightInd w:val="0"/>
        <w:spacing w:after="0" w:line="240" w:lineRule="auto"/>
        <w:rPr>
          <w:rFonts w:ascii="Verdana" w:eastAsia="Times New Roman" w:hAnsi="Verdana" w:cs="Verdana"/>
          <w:b/>
          <w:bCs/>
          <w:sz w:val="20"/>
          <w:szCs w:val="20"/>
          <w:lang w:eastAsia="it-IT"/>
        </w:rPr>
      </w:pPr>
      <w:r w:rsidRPr="002E236C">
        <w:rPr>
          <w:rFonts w:ascii="Verdana" w:eastAsia="Times New Roman" w:hAnsi="Verdana" w:cs="Verdana"/>
          <w:b/>
          <w:bCs/>
          <w:sz w:val="20"/>
          <w:szCs w:val="20"/>
          <w:lang w:eastAsia="it-IT"/>
        </w:rPr>
        <w:t xml:space="preserve">                                                         </w:t>
      </w:r>
    </w:p>
    <w:p w:rsidR="002E236C" w:rsidRPr="002E236C" w:rsidRDefault="002E236C" w:rsidP="002E236C">
      <w:pPr>
        <w:autoSpaceDE w:val="0"/>
        <w:autoSpaceDN w:val="0"/>
        <w:adjustRightInd w:val="0"/>
        <w:spacing w:after="0" w:line="240" w:lineRule="auto"/>
        <w:jc w:val="both"/>
        <w:rPr>
          <w:rFonts w:ascii="Verdana" w:eastAsia="Times New Roman" w:hAnsi="Verdana" w:cs="Verdana"/>
          <w:b/>
          <w:bCs/>
          <w:color w:val="000000"/>
          <w:sz w:val="20"/>
          <w:szCs w:val="20"/>
          <w:lang w:eastAsia="it-IT"/>
        </w:rPr>
      </w:pP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proofErr w:type="spellStart"/>
      <w:r w:rsidRPr="002E236C">
        <w:rPr>
          <w:rFonts w:ascii="Arial" w:eastAsia="Times New Roman" w:hAnsi="Arial" w:cs="Arial"/>
          <w:color w:val="000000"/>
          <w:sz w:val="24"/>
          <w:szCs w:val="24"/>
          <w:lang w:eastAsia="it-IT"/>
        </w:rPr>
        <w:t>Gallorini</w:t>
      </w:r>
      <w:proofErr w:type="spellEnd"/>
      <w:r w:rsidRPr="002E236C">
        <w:rPr>
          <w:rFonts w:ascii="Arial" w:eastAsia="Times New Roman" w:hAnsi="Arial" w:cs="Arial"/>
          <w:color w:val="000000"/>
          <w:sz w:val="24"/>
          <w:szCs w:val="24"/>
          <w:lang w:eastAsia="it-IT"/>
        </w:rPr>
        <w:t xml:space="preserve"> </w:t>
      </w:r>
      <w:proofErr w:type="gramStart"/>
      <w:r w:rsidRPr="002E236C">
        <w:rPr>
          <w:rFonts w:ascii="Arial" w:eastAsia="Times New Roman" w:hAnsi="Arial" w:cs="Arial"/>
          <w:color w:val="000000"/>
          <w:sz w:val="24"/>
          <w:szCs w:val="24"/>
          <w:lang w:eastAsia="it-IT"/>
        </w:rPr>
        <w:t>Gabriella  –</w:t>
      </w:r>
      <w:proofErr w:type="gramEnd"/>
      <w:r w:rsidRPr="002E236C">
        <w:rPr>
          <w:rFonts w:ascii="Arial" w:eastAsia="Times New Roman" w:hAnsi="Arial" w:cs="Arial"/>
          <w:color w:val="000000"/>
          <w:sz w:val="24"/>
          <w:szCs w:val="24"/>
          <w:lang w:eastAsia="it-IT"/>
        </w:rPr>
        <w:t xml:space="preserve"> Responsabile Area</w:t>
      </w: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Governi Donatella (Particolare Posizione) *</w:t>
      </w: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Bifolchi Patrizia</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proofErr w:type="spellStart"/>
      <w:r w:rsidRPr="002E236C">
        <w:rPr>
          <w:rFonts w:ascii="Arial" w:eastAsia="Times New Roman" w:hAnsi="Arial" w:cs="Arial"/>
          <w:sz w:val="24"/>
          <w:szCs w:val="24"/>
          <w:lang w:eastAsia="it-IT"/>
        </w:rPr>
        <w:t>Fierli</w:t>
      </w:r>
      <w:proofErr w:type="spellEnd"/>
      <w:r w:rsidRPr="002E236C">
        <w:rPr>
          <w:rFonts w:ascii="Arial" w:eastAsia="Times New Roman" w:hAnsi="Arial" w:cs="Arial"/>
          <w:sz w:val="24"/>
          <w:szCs w:val="24"/>
          <w:lang w:eastAsia="it-IT"/>
        </w:rPr>
        <w:t xml:space="preserve"> Fernanda</w:t>
      </w: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*presenza di 18 ore settimanale presso questa Amministrazione Comunale – in comando presso altra Amministrazione per le restanti 18 ore settimanali</w:t>
      </w: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72576" behindDoc="0" locked="1" layoutInCell="1" allowOverlap="1">
                <wp:simplePos x="0" y="0"/>
                <wp:positionH relativeFrom="column">
                  <wp:posOffset>1714500</wp:posOffset>
                </wp:positionH>
                <wp:positionV relativeFrom="paragraph">
                  <wp:posOffset>118745</wp:posOffset>
                </wp:positionV>
                <wp:extent cx="0" cy="800100"/>
                <wp:effectExtent l="5715" t="11430" r="13335" b="7620"/>
                <wp:wrapNone/>
                <wp:docPr id="52" name="Connettore 1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07329" id="Connettore 1 5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35pt" to="13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">
                <w10:anchorlock/>
              </v:line>
            </w:pict>
          </mc:Fallback>
        </mc:AlternateContent>
      </w:r>
      <w:proofErr w:type="spellStart"/>
      <w:r w:rsidRPr="002E236C">
        <w:rPr>
          <w:rFonts w:ascii="Arial" w:eastAsia="Times New Roman" w:hAnsi="Arial" w:cs="Arial"/>
          <w:sz w:val="24"/>
          <w:szCs w:val="24"/>
          <w:lang w:eastAsia="it-IT"/>
        </w:rPr>
        <w:t>Buracchi</w:t>
      </w:r>
      <w:proofErr w:type="spellEnd"/>
      <w:r w:rsidRPr="002E236C">
        <w:rPr>
          <w:rFonts w:ascii="Arial" w:eastAsia="Times New Roman" w:hAnsi="Arial" w:cs="Arial"/>
          <w:sz w:val="24"/>
          <w:szCs w:val="24"/>
          <w:lang w:eastAsia="it-IT"/>
        </w:rPr>
        <w:t xml:space="preserve"> Luciano</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Cardinale Roberto</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 xml:space="preserve">Ceccarelli Daniele        </w:t>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t xml:space="preserve">                </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proofErr w:type="spellStart"/>
      <w:r w:rsidRPr="002E236C">
        <w:rPr>
          <w:rFonts w:ascii="Arial" w:eastAsia="Times New Roman" w:hAnsi="Arial" w:cs="Arial"/>
          <w:sz w:val="24"/>
          <w:szCs w:val="24"/>
          <w:lang w:eastAsia="it-IT"/>
        </w:rPr>
        <w:t>Guerri</w:t>
      </w:r>
      <w:proofErr w:type="spellEnd"/>
      <w:r w:rsidRPr="002E236C">
        <w:rPr>
          <w:rFonts w:ascii="Arial" w:eastAsia="Times New Roman" w:hAnsi="Arial" w:cs="Arial"/>
          <w:sz w:val="24"/>
          <w:szCs w:val="24"/>
          <w:lang w:eastAsia="it-IT"/>
        </w:rPr>
        <w:t xml:space="preserve"> Marco</w:t>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t xml:space="preserve"> Autisti scuolabus</w:t>
      </w:r>
      <w:r w:rsidRPr="002E236C">
        <w:rPr>
          <w:rFonts w:ascii="Arial" w:eastAsia="Times New Roman" w:hAnsi="Arial" w:cs="Arial"/>
          <w:sz w:val="24"/>
          <w:szCs w:val="24"/>
          <w:lang w:eastAsia="it-IT"/>
        </w:rPr>
        <w:tab/>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Rossi Claudio</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Talli Gabriele</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proofErr w:type="spellStart"/>
      <w:r w:rsidRPr="002E236C">
        <w:rPr>
          <w:rFonts w:ascii="Arial" w:eastAsia="Times New Roman" w:hAnsi="Arial" w:cs="Arial"/>
          <w:sz w:val="24"/>
          <w:szCs w:val="24"/>
          <w:lang w:eastAsia="it-IT"/>
        </w:rPr>
        <w:t>Cresti</w:t>
      </w:r>
      <w:proofErr w:type="spellEnd"/>
      <w:r w:rsidRPr="002E236C">
        <w:rPr>
          <w:rFonts w:ascii="Arial" w:eastAsia="Times New Roman" w:hAnsi="Arial" w:cs="Arial"/>
          <w:sz w:val="24"/>
          <w:szCs w:val="24"/>
          <w:lang w:eastAsia="it-IT"/>
        </w:rPr>
        <w:t xml:space="preserve"> Luca *</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*in servizio, per reperibilità e quando sospesa attività didattica dell’asilo nido comunale, anche nell’Area Manutenzione</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92032" behindDoc="0" locked="1" layoutInCell="1" allowOverlap="1">
                <wp:simplePos x="0" y="0"/>
                <wp:positionH relativeFrom="column">
                  <wp:posOffset>1807845</wp:posOffset>
                </wp:positionH>
                <wp:positionV relativeFrom="paragraph">
                  <wp:posOffset>65405</wp:posOffset>
                </wp:positionV>
                <wp:extent cx="0" cy="1066800"/>
                <wp:effectExtent l="13335" t="5715" r="5715" b="13335"/>
                <wp:wrapNone/>
                <wp:docPr id="51" name="Connettore 1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F2032" id="Connettore 1 5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5pt,5.15pt" to="142.35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">
                <w10:anchorlock/>
              </v:line>
            </w:pict>
          </mc:Fallback>
        </mc:AlternateContent>
      </w:r>
      <w:r w:rsidRPr="002E236C">
        <w:rPr>
          <w:rFonts w:ascii="Arial" w:eastAsia="Times New Roman" w:hAnsi="Arial" w:cs="Arial"/>
          <w:sz w:val="24"/>
          <w:szCs w:val="24"/>
          <w:lang w:eastAsia="it-IT"/>
        </w:rPr>
        <w:t>Angiolini Luciana</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Franchini Franca</w:t>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t>Asilo Nido</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proofErr w:type="spellStart"/>
      <w:r w:rsidRPr="002E236C">
        <w:rPr>
          <w:rFonts w:ascii="Arial" w:eastAsia="Times New Roman" w:hAnsi="Arial" w:cs="Arial"/>
          <w:sz w:val="24"/>
          <w:szCs w:val="24"/>
          <w:lang w:eastAsia="it-IT"/>
        </w:rPr>
        <w:t>Zoi</w:t>
      </w:r>
      <w:proofErr w:type="spellEnd"/>
      <w:r w:rsidRPr="002E236C">
        <w:rPr>
          <w:rFonts w:ascii="Arial" w:eastAsia="Times New Roman" w:hAnsi="Arial" w:cs="Arial"/>
          <w:sz w:val="24"/>
          <w:szCs w:val="24"/>
          <w:lang w:eastAsia="it-IT"/>
        </w:rPr>
        <w:t xml:space="preserve"> Stella      </w:t>
      </w:r>
      <w:r w:rsidRPr="002E236C">
        <w:rPr>
          <w:rFonts w:ascii="Arial" w:eastAsia="Times New Roman" w:hAnsi="Arial" w:cs="Arial"/>
          <w:sz w:val="24"/>
          <w:szCs w:val="24"/>
          <w:lang w:eastAsia="it-IT"/>
        </w:rPr>
        <w:tab/>
        <w:t xml:space="preserve">                                 </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 xml:space="preserve">Nardi Luciana (part-time)              </w:t>
      </w:r>
    </w:p>
    <w:p w:rsidR="002E236C" w:rsidRPr="002E236C" w:rsidRDefault="002E236C" w:rsidP="002E236C">
      <w:pPr>
        <w:autoSpaceDE w:val="0"/>
        <w:autoSpaceDN w:val="0"/>
        <w:adjustRightInd w:val="0"/>
        <w:spacing w:after="0" w:line="240" w:lineRule="auto"/>
        <w:rPr>
          <w:rFonts w:ascii="Arial" w:eastAsia="Times New Roman" w:hAnsi="Arial" w:cs="Arial"/>
          <w:sz w:val="24"/>
          <w:szCs w:val="24"/>
          <w:lang w:eastAsia="it-IT"/>
        </w:rPr>
      </w:pPr>
      <w:r w:rsidRPr="002E236C">
        <w:rPr>
          <w:rFonts w:ascii="Arial" w:eastAsia="Times New Roman" w:hAnsi="Arial" w:cs="Arial"/>
          <w:sz w:val="24"/>
          <w:szCs w:val="24"/>
          <w:lang w:eastAsia="it-IT"/>
        </w:rPr>
        <w:t xml:space="preserve">- Istruttore educativo per </w:t>
      </w:r>
    </w:p>
    <w:p w:rsidR="002E236C" w:rsidRPr="002E236C" w:rsidRDefault="002E236C" w:rsidP="002E236C">
      <w:pPr>
        <w:autoSpaceDE w:val="0"/>
        <w:autoSpaceDN w:val="0"/>
        <w:adjustRightInd w:val="0"/>
        <w:spacing w:after="0" w:line="240" w:lineRule="auto"/>
        <w:rPr>
          <w:rFonts w:ascii="Arial" w:eastAsia="Times New Roman" w:hAnsi="Arial" w:cs="Arial"/>
          <w:sz w:val="24"/>
          <w:szCs w:val="24"/>
          <w:lang w:eastAsia="it-IT"/>
        </w:rPr>
      </w:pPr>
      <w:proofErr w:type="gramStart"/>
      <w:r w:rsidRPr="002E236C">
        <w:rPr>
          <w:rFonts w:ascii="Arial" w:eastAsia="Times New Roman" w:hAnsi="Arial" w:cs="Arial"/>
          <w:sz w:val="24"/>
          <w:szCs w:val="24"/>
          <w:lang w:eastAsia="it-IT"/>
        </w:rPr>
        <w:t>sostituzioni</w:t>
      </w:r>
      <w:proofErr w:type="gramEnd"/>
      <w:r w:rsidRPr="002E236C">
        <w:rPr>
          <w:rFonts w:ascii="Arial" w:eastAsia="Times New Roman" w:hAnsi="Arial" w:cs="Arial"/>
          <w:sz w:val="24"/>
          <w:szCs w:val="24"/>
          <w:lang w:eastAsia="it-IT"/>
        </w:rPr>
        <w:t xml:space="preserve"> *</w:t>
      </w:r>
    </w:p>
    <w:p w:rsidR="002E236C" w:rsidRPr="002E236C" w:rsidRDefault="002E236C" w:rsidP="002E236C">
      <w:pPr>
        <w:autoSpaceDE w:val="0"/>
        <w:autoSpaceDN w:val="0"/>
        <w:adjustRightInd w:val="0"/>
        <w:spacing w:after="0" w:line="240" w:lineRule="auto"/>
        <w:rPr>
          <w:rFonts w:ascii="Arial" w:eastAsia="Times New Roman" w:hAnsi="Arial" w:cs="Arial"/>
          <w:color w:val="000000"/>
          <w:sz w:val="24"/>
          <w:szCs w:val="24"/>
          <w:lang w:eastAsia="it-IT"/>
        </w:rPr>
      </w:pPr>
    </w:p>
    <w:p w:rsidR="002E236C" w:rsidRPr="002E236C" w:rsidRDefault="002E236C" w:rsidP="002E236C">
      <w:pPr>
        <w:autoSpaceDE w:val="0"/>
        <w:autoSpaceDN w:val="0"/>
        <w:adjustRightInd w:val="0"/>
        <w:spacing w:after="0" w:line="240" w:lineRule="auto"/>
        <w:rPr>
          <w:rFonts w:ascii="Arial" w:eastAsia="Times New Roman" w:hAnsi="Arial" w:cs="Arial"/>
          <w:sz w:val="24"/>
          <w:szCs w:val="24"/>
          <w:lang w:eastAsia="it-IT"/>
        </w:rPr>
      </w:pPr>
      <w:r w:rsidRPr="002E236C">
        <w:rPr>
          <w:rFonts w:ascii="Arial" w:eastAsia="Times New Roman" w:hAnsi="Arial" w:cs="Arial"/>
          <w:color w:val="000000"/>
          <w:sz w:val="24"/>
          <w:szCs w:val="24"/>
          <w:lang w:eastAsia="it-IT"/>
        </w:rPr>
        <w:t xml:space="preserve">*(v. piano </w:t>
      </w:r>
      <w:proofErr w:type="spellStart"/>
      <w:r w:rsidRPr="002E236C">
        <w:rPr>
          <w:rFonts w:ascii="Arial" w:eastAsia="Times New Roman" w:hAnsi="Arial" w:cs="Arial"/>
          <w:color w:val="000000"/>
          <w:sz w:val="24"/>
          <w:szCs w:val="24"/>
          <w:lang w:eastAsia="it-IT"/>
        </w:rPr>
        <w:t>assunzionale</w:t>
      </w:r>
      <w:proofErr w:type="spellEnd"/>
      <w:r w:rsidRPr="002E236C">
        <w:rPr>
          <w:rFonts w:ascii="Arial" w:eastAsia="Times New Roman" w:hAnsi="Arial" w:cs="Arial"/>
          <w:color w:val="000000"/>
          <w:sz w:val="24"/>
          <w:szCs w:val="24"/>
          <w:lang w:eastAsia="it-IT"/>
        </w:rPr>
        <w:t xml:space="preserve"> 2016)</w:t>
      </w:r>
    </w:p>
    <w:p w:rsidR="002E236C" w:rsidRPr="002E236C" w:rsidRDefault="002E236C" w:rsidP="002E236C">
      <w:pPr>
        <w:autoSpaceDE w:val="0"/>
        <w:autoSpaceDN w:val="0"/>
        <w:adjustRightInd w:val="0"/>
        <w:spacing w:after="0" w:line="240" w:lineRule="auto"/>
        <w:rPr>
          <w:rFonts w:ascii="Arial" w:eastAsia="Times New Roman" w:hAnsi="Arial" w:cs="Arial"/>
          <w:sz w:val="24"/>
          <w:szCs w:val="24"/>
          <w:lang w:eastAsia="it-IT"/>
        </w:rPr>
      </w:pPr>
    </w:p>
    <w:p w:rsidR="002E236C" w:rsidRPr="002E236C" w:rsidRDefault="002E236C" w:rsidP="002E236C">
      <w:pPr>
        <w:autoSpaceDE w:val="0"/>
        <w:autoSpaceDN w:val="0"/>
        <w:adjustRightInd w:val="0"/>
        <w:spacing w:after="0" w:line="240" w:lineRule="auto"/>
        <w:rPr>
          <w:rFonts w:ascii="Arial" w:eastAsia="Times New Roman" w:hAnsi="Arial" w:cs="Arial"/>
          <w:sz w:val="24"/>
          <w:szCs w:val="24"/>
          <w:lang w:eastAsia="it-IT"/>
        </w:rPr>
      </w:pPr>
      <w:r w:rsidRPr="002E236C">
        <w:rPr>
          <w:rFonts w:ascii="Arial" w:eastAsia="Times New Roman" w:hAnsi="Arial" w:cs="Arial"/>
          <w:sz w:val="24"/>
          <w:szCs w:val="24"/>
          <w:lang w:eastAsia="it-IT"/>
        </w:rPr>
        <w:t>Paolucci Manuela*</w:t>
      </w:r>
      <w:r w:rsidRPr="002E236C">
        <w:rPr>
          <w:rFonts w:ascii="Arial" w:eastAsia="Times New Roman" w:hAnsi="Arial" w:cs="Arial"/>
          <w:sz w:val="24"/>
          <w:szCs w:val="24"/>
          <w:lang w:eastAsia="it-IT"/>
        </w:rPr>
        <w:tab/>
        <w:t xml:space="preserve">                  Centro sociale         </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Liardo Pietro*</w:t>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t xml:space="preserve"> </w:t>
      </w:r>
      <w:r w:rsidRPr="002E236C">
        <w:rPr>
          <w:rFonts w:ascii="Arial" w:eastAsia="Times New Roman" w:hAnsi="Arial" w:cs="Arial"/>
          <w:sz w:val="24"/>
          <w:szCs w:val="24"/>
          <w:lang w:eastAsia="it-IT"/>
        </w:rPr>
        <w:tab/>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 xml:space="preserve">*Assegnati funzionalmente al centro sociale </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74624" behindDoc="0" locked="1" layoutInCell="1" allowOverlap="1">
                <wp:simplePos x="0" y="0"/>
                <wp:positionH relativeFrom="column">
                  <wp:posOffset>1960245</wp:posOffset>
                </wp:positionH>
                <wp:positionV relativeFrom="paragraph">
                  <wp:posOffset>-513715</wp:posOffset>
                </wp:positionV>
                <wp:extent cx="0" cy="228600"/>
                <wp:effectExtent l="13335" t="5715" r="5715" b="13335"/>
                <wp:wrapNone/>
                <wp:docPr id="50" name="Connettore 1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3D3F3" id="Connettore 1 5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5pt,-40.45pt" to="154.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">
                <w10:anchorlock/>
              </v:line>
            </w:pict>
          </mc:Fallback>
        </mc:AlternateConten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proofErr w:type="spellStart"/>
      <w:r w:rsidRPr="002E236C">
        <w:rPr>
          <w:rFonts w:ascii="Arial" w:eastAsia="Times New Roman" w:hAnsi="Arial" w:cs="Arial"/>
          <w:sz w:val="24"/>
          <w:szCs w:val="24"/>
          <w:lang w:eastAsia="it-IT"/>
        </w:rPr>
        <w:t>Beligni</w:t>
      </w:r>
      <w:proofErr w:type="spellEnd"/>
      <w:r w:rsidRPr="002E236C">
        <w:rPr>
          <w:rFonts w:ascii="Arial" w:eastAsia="Times New Roman" w:hAnsi="Arial" w:cs="Arial"/>
          <w:sz w:val="24"/>
          <w:szCs w:val="24"/>
          <w:lang w:eastAsia="it-IT"/>
        </w:rPr>
        <w:t xml:space="preserve"> Sandra</w:t>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t>Assistenti sociali (comando ASL/Società della Salute)</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Marcocci Debora</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 xml:space="preserve"> </w:t>
      </w:r>
    </w:p>
    <w:p w:rsidR="002E236C" w:rsidRPr="002E236C" w:rsidRDefault="002E236C" w:rsidP="002E236C">
      <w:pPr>
        <w:autoSpaceDE w:val="0"/>
        <w:autoSpaceDN w:val="0"/>
        <w:adjustRightInd w:val="0"/>
        <w:spacing w:after="0" w:line="240" w:lineRule="auto"/>
        <w:rPr>
          <w:rFonts w:ascii="Arial" w:eastAsia="Times New Roman" w:hAnsi="Arial" w:cs="Arial"/>
          <w:sz w:val="24"/>
          <w:szCs w:val="24"/>
          <w:lang w:eastAsia="it-IT"/>
        </w:rPr>
      </w:pPr>
      <w:r w:rsidRPr="002E236C">
        <w:rPr>
          <w:rFonts w:ascii="Arial" w:eastAsia="Times New Roman" w:hAnsi="Arial" w:cs="Arial"/>
          <w:sz w:val="24"/>
          <w:szCs w:val="24"/>
          <w:lang w:eastAsia="it-IT"/>
        </w:rPr>
        <w:t xml:space="preserve">ISTITUZIONE </w:t>
      </w:r>
      <w:proofErr w:type="gramStart"/>
      <w:r w:rsidRPr="002E236C">
        <w:rPr>
          <w:rFonts w:ascii="Arial" w:eastAsia="Times New Roman" w:hAnsi="Arial" w:cs="Arial"/>
          <w:sz w:val="24"/>
          <w:szCs w:val="24"/>
          <w:lang w:eastAsia="it-IT"/>
        </w:rPr>
        <w:t xml:space="preserve">BIBLIOTECA  </w:t>
      </w:r>
      <w:r w:rsidRPr="002E236C">
        <w:rPr>
          <w:rFonts w:ascii="Arial" w:eastAsia="Times New Roman" w:hAnsi="Arial" w:cs="Arial"/>
          <w:sz w:val="24"/>
          <w:szCs w:val="24"/>
          <w:lang w:eastAsia="it-IT"/>
        </w:rPr>
        <w:tab/>
      </w:r>
      <w:proofErr w:type="gramEnd"/>
      <w:r w:rsidRPr="002E236C">
        <w:rPr>
          <w:rFonts w:ascii="Arial" w:eastAsia="Times New Roman" w:hAnsi="Arial" w:cs="Arial"/>
          <w:sz w:val="24"/>
          <w:szCs w:val="24"/>
          <w:lang w:eastAsia="it-IT"/>
        </w:rPr>
        <w:t xml:space="preserve">   Pasqui Duccio (Particolare Posizione)*</w:t>
      </w:r>
    </w:p>
    <w:p w:rsidR="002E236C" w:rsidRPr="002E236C" w:rsidRDefault="002E236C" w:rsidP="002E236C">
      <w:pPr>
        <w:autoSpaceDE w:val="0"/>
        <w:autoSpaceDN w:val="0"/>
        <w:adjustRightInd w:val="0"/>
        <w:spacing w:after="0" w:line="240" w:lineRule="auto"/>
        <w:ind w:left="2832" w:firstLine="708"/>
        <w:rPr>
          <w:rFonts w:ascii="Arial" w:eastAsia="Times New Roman" w:hAnsi="Arial" w:cs="Arial"/>
          <w:sz w:val="24"/>
          <w:szCs w:val="24"/>
          <w:lang w:eastAsia="it-IT"/>
        </w:rPr>
      </w:pPr>
      <w:r w:rsidRPr="002E236C">
        <w:rPr>
          <w:rFonts w:ascii="Arial" w:eastAsia="Times New Roman" w:hAnsi="Arial" w:cs="Arial"/>
          <w:sz w:val="24"/>
          <w:szCs w:val="24"/>
          <w:lang w:eastAsia="it-IT"/>
        </w:rPr>
        <w:t xml:space="preserve">   Sigillo Antonio </w:t>
      </w:r>
    </w:p>
    <w:p w:rsidR="002E236C" w:rsidRPr="002E236C" w:rsidRDefault="002E236C" w:rsidP="002E236C">
      <w:pPr>
        <w:autoSpaceDE w:val="0"/>
        <w:autoSpaceDN w:val="0"/>
        <w:adjustRightInd w:val="0"/>
        <w:spacing w:after="0" w:line="240" w:lineRule="auto"/>
        <w:rPr>
          <w:rFonts w:ascii="Arial" w:eastAsia="Times New Roman" w:hAnsi="Arial" w:cs="Arial"/>
          <w:sz w:val="24"/>
          <w:szCs w:val="24"/>
          <w:lang w:eastAsia="it-IT"/>
        </w:rPr>
      </w:pPr>
    </w:p>
    <w:p w:rsidR="002E236C" w:rsidRPr="002E236C" w:rsidRDefault="002E236C" w:rsidP="002E236C">
      <w:pPr>
        <w:autoSpaceDE w:val="0"/>
        <w:autoSpaceDN w:val="0"/>
        <w:adjustRightInd w:val="0"/>
        <w:spacing w:after="0" w:line="240" w:lineRule="auto"/>
        <w:rPr>
          <w:rFonts w:ascii="Arial" w:eastAsia="Times New Roman" w:hAnsi="Arial" w:cs="Arial"/>
          <w:sz w:val="24"/>
          <w:szCs w:val="24"/>
          <w:lang w:eastAsia="it-IT"/>
        </w:rPr>
      </w:pPr>
      <w:r w:rsidRPr="002E236C">
        <w:rPr>
          <w:rFonts w:ascii="Arial" w:eastAsia="Times New Roman" w:hAnsi="Arial" w:cs="Arial"/>
          <w:sz w:val="24"/>
          <w:szCs w:val="24"/>
          <w:lang w:eastAsia="it-IT"/>
        </w:rPr>
        <w:t>FONDAZIONE CANTIERE</w:t>
      </w:r>
    </w:p>
    <w:p w:rsidR="002E236C" w:rsidRPr="002E236C" w:rsidRDefault="002E236C" w:rsidP="002E236C">
      <w:pPr>
        <w:autoSpaceDE w:val="0"/>
        <w:autoSpaceDN w:val="0"/>
        <w:adjustRightInd w:val="0"/>
        <w:spacing w:after="0" w:line="240" w:lineRule="auto"/>
        <w:rPr>
          <w:rFonts w:ascii="Arial" w:eastAsia="Times New Roman" w:hAnsi="Arial" w:cs="Arial"/>
          <w:sz w:val="24"/>
          <w:szCs w:val="24"/>
          <w:lang w:eastAsia="it-IT"/>
        </w:rPr>
      </w:pPr>
    </w:p>
    <w:p w:rsid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p>
    <w:p w:rsid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p>
    <w:p w:rsid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p>
    <w:p w:rsid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p>
    <w:p w:rsid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p>
    <w:p w:rsid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r w:rsidRPr="002E236C">
        <w:rPr>
          <w:rFonts w:ascii="Verdana" w:eastAsia="Times New Roman" w:hAnsi="Verdana" w:cs="Verdana"/>
          <w:noProof/>
          <w:sz w:val="24"/>
          <w:szCs w:val="24"/>
          <w:lang w:eastAsia="it-IT"/>
        </w:rPr>
        <w:lastRenderedPageBreak/>
        <mc:AlternateContent>
          <mc:Choice Requires="wps">
            <w:drawing>
              <wp:anchor distT="0" distB="0" distL="114300" distR="114300" simplePos="0" relativeHeight="251693056" behindDoc="0" locked="1" layoutInCell="1" allowOverlap="1">
                <wp:simplePos x="0" y="0"/>
                <wp:positionH relativeFrom="column">
                  <wp:posOffset>2108835</wp:posOffset>
                </wp:positionH>
                <wp:positionV relativeFrom="paragraph">
                  <wp:posOffset>13970</wp:posOffset>
                </wp:positionV>
                <wp:extent cx="2514600" cy="752475"/>
                <wp:effectExtent l="0" t="0" r="19050" b="28575"/>
                <wp:wrapNone/>
                <wp:docPr id="49" name="Casella di tes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52475"/>
                        </a:xfrm>
                        <a:prstGeom prst="rect">
                          <a:avLst/>
                        </a:prstGeom>
                        <a:solidFill>
                          <a:srgbClr val="FFFFFF"/>
                        </a:solidFill>
                        <a:ln w="9525">
                          <a:solidFill>
                            <a:srgbClr val="000000"/>
                          </a:solidFill>
                          <a:miter lim="800000"/>
                          <a:headEnd/>
                          <a:tailEnd/>
                        </a:ln>
                      </wps:spPr>
                      <wps:txbx>
                        <w:txbxContent>
                          <w:p w:rsidR="001406AD" w:rsidRDefault="001406AD" w:rsidP="002E236C">
                            <w:pPr>
                              <w:jc w:val="center"/>
                              <w:rPr>
                                <w:color w:val="FF0000"/>
                              </w:rPr>
                            </w:pPr>
                            <w:r>
                              <w:rPr>
                                <w:color w:val="FF0000"/>
                              </w:rPr>
                              <w:t>AREA</w:t>
                            </w:r>
                          </w:p>
                          <w:p w:rsidR="001406AD" w:rsidRPr="004B5DF9" w:rsidRDefault="001406AD" w:rsidP="002E236C">
                            <w:pPr>
                              <w:jc w:val="center"/>
                              <w:rPr>
                                <w:color w:val="FF0000"/>
                              </w:rPr>
                            </w:pPr>
                            <w:r>
                              <w:rPr>
                                <w:color w:val="FF0000"/>
                              </w:rPr>
                              <w:t>FINANZIARIA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9" o:spid="_x0000_s1036" type="#_x0000_t202" style="position:absolute;margin-left:166.05pt;margin-top:1.1pt;width:198pt;height:5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">
                <v:textbox>
                  <w:txbxContent>
                    <w:p w:rsidR="001406AD" w:rsidRDefault="001406AD" w:rsidP="002E236C">
                      <w:pPr>
                        <w:jc w:val="center"/>
                        <w:rPr>
                          <w:color w:val="FF0000"/>
                        </w:rPr>
                      </w:pPr>
                      <w:r>
                        <w:rPr>
                          <w:color w:val="FF0000"/>
                        </w:rPr>
                        <w:t>AREA</w:t>
                      </w:r>
                    </w:p>
                    <w:p w:rsidR="001406AD" w:rsidRPr="004B5DF9" w:rsidRDefault="001406AD" w:rsidP="002E236C">
                      <w:pPr>
                        <w:jc w:val="center"/>
                        <w:rPr>
                          <w:color w:val="FF0000"/>
                        </w:rPr>
                      </w:pPr>
                      <w:r>
                        <w:rPr>
                          <w:color w:val="FF0000"/>
                        </w:rPr>
                        <w:t>FINANZIARIA</w:t>
                      </w:r>
                    </w:p>
                  </w:txbxContent>
                </v:textbox>
                <w10:anchorlock/>
              </v:shape>
            </w:pict>
          </mc:Fallback>
        </mc:AlternateContent>
      </w: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79744" behindDoc="0" locked="1" layoutInCell="1" allowOverlap="1">
                <wp:simplePos x="0" y="0"/>
                <wp:positionH relativeFrom="column">
                  <wp:posOffset>2628900</wp:posOffset>
                </wp:positionH>
                <wp:positionV relativeFrom="paragraph">
                  <wp:posOffset>31750</wp:posOffset>
                </wp:positionV>
                <wp:extent cx="1388745" cy="685800"/>
                <wp:effectExtent l="5715" t="10160" r="5715" b="8890"/>
                <wp:wrapNone/>
                <wp:docPr id="48" name="Casella di tes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685800"/>
                        </a:xfrm>
                        <a:prstGeom prst="rect">
                          <a:avLst/>
                        </a:prstGeom>
                        <a:solidFill>
                          <a:srgbClr val="FFFFFF"/>
                        </a:solidFill>
                        <a:ln w="9525">
                          <a:solidFill>
                            <a:srgbClr val="000000"/>
                          </a:solidFill>
                          <a:miter lim="800000"/>
                          <a:headEnd/>
                          <a:tailEnd/>
                        </a:ln>
                      </wps:spPr>
                      <wps:txbx>
                        <w:txbxContent>
                          <w:p w:rsidR="001406AD" w:rsidRPr="00D96172" w:rsidRDefault="001406AD" w:rsidP="002E236C">
                            <w:pPr>
                              <w:rPr>
                                <w:color w:val="FF0000"/>
                              </w:rPr>
                            </w:pPr>
                            <w:r w:rsidRPr="00D96172">
                              <w:rPr>
                                <w:color w:val="FF0000"/>
                              </w:rPr>
                              <w:t>CONTROLLO DI GESTIONE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8" o:spid="_x0000_s1037" type="#_x0000_t202" style="position:absolute;margin-left:207pt;margin-top:2.5pt;width:109.3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">
                <v:textbox>
                  <w:txbxContent>
                    <w:p w:rsidR="001406AD" w:rsidRPr="00D96172" w:rsidRDefault="001406AD" w:rsidP="002E236C">
                      <w:pPr>
                        <w:rPr>
                          <w:color w:val="FF0000"/>
                        </w:rPr>
                      </w:pPr>
                      <w:r w:rsidRPr="00D96172">
                        <w:rPr>
                          <w:color w:val="FF0000"/>
                        </w:rPr>
                        <w:t>CONTROLLO DI GESTIONE</w:t>
                      </w:r>
                    </w:p>
                  </w:txbxContent>
                </v:textbox>
                <w10:anchorlock/>
              </v:shape>
            </w:pict>
          </mc:Fallback>
        </mc:AlternateContent>
      </w:r>
    </w:p>
    <w:p w:rsidR="002E236C" w:rsidRPr="002E236C" w:rsidRDefault="002E236C" w:rsidP="002E236C">
      <w:pPr>
        <w:autoSpaceDE w:val="0"/>
        <w:autoSpaceDN w:val="0"/>
        <w:adjustRightInd w:val="0"/>
        <w:spacing w:after="0" w:line="240" w:lineRule="auto"/>
        <w:rPr>
          <w:rFonts w:ascii="Verdana" w:eastAsia="Times New Roman" w:hAnsi="Verdana" w:cs="Verdana"/>
          <w:color w:val="FF0000"/>
          <w:sz w:val="24"/>
          <w:szCs w:val="24"/>
          <w:lang w:eastAsia="it-IT"/>
        </w:rPr>
      </w:pPr>
    </w:p>
    <w:p w:rsidR="002E236C" w:rsidRPr="002E236C" w:rsidRDefault="002E236C" w:rsidP="002E236C">
      <w:pPr>
        <w:autoSpaceDE w:val="0"/>
        <w:autoSpaceDN w:val="0"/>
        <w:adjustRightInd w:val="0"/>
        <w:spacing w:after="0" w:line="240" w:lineRule="auto"/>
        <w:jc w:val="center"/>
        <w:rPr>
          <w:rFonts w:ascii="Verdana" w:eastAsia="Times New Roman" w:hAnsi="Verdana" w:cs="Verdana"/>
          <w:b/>
          <w:bCs/>
          <w:color w:val="FF0000"/>
          <w:sz w:val="20"/>
          <w:szCs w:val="20"/>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0"/>
          <w:szCs w:val="20"/>
          <w:lang w:eastAsia="it-IT"/>
        </w:rPr>
      </w:pPr>
      <w:r w:rsidRPr="002E236C">
        <w:rPr>
          <w:rFonts w:ascii="Verdana" w:eastAsia="Times New Roman" w:hAnsi="Verdana" w:cs="Verdana"/>
          <w:sz w:val="20"/>
          <w:szCs w:val="20"/>
          <w:lang w:eastAsia="it-IT"/>
        </w:rPr>
        <w:t xml:space="preserve">                                </w:t>
      </w: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0"/>
          <w:szCs w:val="20"/>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0"/>
          <w:szCs w:val="20"/>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0"/>
          <w:szCs w:val="20"/>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94080" behindDoc="0" locked="1" layoutInCell="1" allowOverlap="1">
                <wp:simplePos x="0" y="0"/>
                <wp:positionH relativeFrom="column">
                  <wp:posOffset>-97155</wp:posOffset>
                </wp:positionH>
                <wp:positionV relativeFrom="paragraph">
                  <wp:posOffset>650240</wp:posOffset>
                </wp:positionV>
                <wp:extent cx="1981200" cy="609600"/>
                <wp:effectExtent l="13335" t="6985" r="5715" b="12065"/>
                <wp:wrapNone/>
                <wp:docPr id="47" name="Casella di tes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09600"/>
                        </a:xfrm>
                        <a:prstGeom prst="rect">
                          <a:avLst/>
                        </a:prstGeom>
                        <a:solidFill>
                          <a:srgbClr val="FFFFFF"/>
                        </a:solidFill>
                        <a:ln w="9525">
                          <a:solidFill>
                            <a:srgbClr val="000000"/>
                          </a:solidFill>
                          <a:miter lim="800000"/>
                          <a:headEnd/>
                          <a:tailEnd/>
                        </a:ln>
                      </wps:spPr>
                      <wps:txbx>
                        <w:txbxContent>
                          <w:p w:rsidR="001406AD" w:rsidRPr="003E621E" w:rsidRDefault="001406AD" w:rsidP="002E236C">
                            <w:pPr>
                              <w:rPr>
                                <w:color w:val="FF0000"/>
                                <w:sz w:val="20"/>
                                <w:szCs w:val="20"/>
                              </w:rPr>
                            </w:pPr>
                            <w:r>
                              <w:rPr>
                                <w:color w:val="FF0000"/>
                                <w:sz w:val="20"/>
                                <w:szCs w:val="20"/>
                              </w:rPr>
                              <w:t>SERVIZIO FINANZIARIO ED   ECONOMATO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7" o:spid="_x0000_s1038" type="#_x0000_t202" style="position:absolute;left:0;text-align:left;margin-left:-7.65pt;margin-top:51.2pt;width:156pt;height: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">
                <v:textbox>
                  <w:txbxContent>
                    <w:p w:rsidR="001406AD" w:rsidRPr="003E621E" w:rsidRDefault="001406AD" w:rsidP="002E236C">
                      <w:pPr>
                        <w:rPr>
                          <w:color w:val="FF0000"/>
                          <w:sz w:val="20"/>
                          <w:szCs w:val="20"/>
                        </w:rPr>
                      </w:pPr>
                      <w:r>
                        <w:rPr>
                          <w:color w:val="FF0000"/>
                          <w:sz w:val="20"/>
                          <w:szCs w:val="20"/>
                        </w:rPr>
                        <w:t>SERVIZIO FINANZIARIO ED   ECONOMATO</w:t>
                      </w:r>
                    </w:p>
                  </w:txbxContent>
                </v:textbox>
                <w10:anchorlock/>
              </v:shape>
            </w:pict>
          </mc:Fallback>
        </mc:AlternateContent>
      </w: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0"/>
          <w:szCs w:val="20"/>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0"/>
          <w:szCs w:val="20"/>
          <w:lang w:eastAsia="it-IT"/>
        </w:rPr>
      </w:pPr>
    </w:p>
    <w:p w:rsidR="002E236C" w:rsidRPr="002E236C" w:rsidRDefault="002E236C" w:rsidP="002E236C">
      <w:pPr>
        <w:autoSpaceDE w:val="0"/>
        <w:autoSpaceDN w:val="0"/>
        <w:adjustRightInd w:val="0"/>
        <w:spacing w:after="0" w:line="240" w:lineRule="auto"/>
        <w:ind w:firstLine="5103"/>
        <w:jc w:val="both"/>
        <w:rPr>
          <w:rFonts w:ascii="Arial" w:eastAsia="Times New Roman" w:hAnsi="Arial" w:cs="Arial"/>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75648" behindDoc="0" locked="1" layoutInCell="1" allowOverlap="1">
                <wp:simplePos x="0" y="0"/>
                <wp:positionH relativeFrom="column">
                  <wp:posOffset>3086100</wp:posOffset>
                </wp:positionH>
                <wp:positionV relativeFrom="paragraph">
                  <wp:posOffset>45085</wp:posOffset>
                </wp:positionV>
                <wp:extent cx="0" cy="1371600"/>
                <wp:effectExtent l="5715" t="7620" r="13335" b="11430"/>
                <wp:wrapNone/>
                <wp:docPr id="46" name="Connettore 1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C0996" id="Connettore 1 4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55pt" to="243pt,1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">
                <w10:anchorlock/>
              </v:line>
            </w:pict>
          </mc:Fallback>
        </mc:AlternateContent>
      </w:r>
      <w:r w:rsidRPr="002E236C">
        <w:rPr>
          <w:rFonts w:ascii="Arial" w:eastAsia="Times New Roman" w:hAnsi="Arial" w:cs="Arial"/>
          <w:sz w:val="24"/>
          <w:szCs w:val="24"/>
          <w:lang w:eastAsia="it-IT"/>
        </w:rPr>
        <w:t>Programmazione/bilancio</w:t>
      </w:r>
    </w:p>
    <w:p w:rsidR="002E236C" w:rsidRPr="002E236C" w:rsidRDefault="002E236C" w:rsidP="002E236C">
      <w:pPr>
        <w:autoSpaceDE w:val="0"/>
        <w:autoSpaceDN w:val="0"/>
        <w:adjustRightInd w:val="0"/>
        <w:spacing w:after="0" w:line="240" w:lineRule="auto"/>
        <w:ind w:firstLine="5103"/>
        <w:jc w:val="both"/>
        <w:rPr>
          <w:rFonts w:ascii="Arial" w:eastAsia="Times New Roman" w:hAnsi="Arial" w:cs="Arial"/>
          <w:b/>
          <w:bCs/>
          <w:color w:val="FF0000"/>
          <w:sz w:val="24"/>
          <w:szCs w:val="24"/>
          <w:lang w:eastAsia="it-IT"/>
        </w:rPr>
      </w:pPr>
      <w:r w:rsidRPr="002E236C">
        <w:rPr>
          <w:rFonts w:ascii="Arial" w:eastAsia="Times New Roman" w:hAnsi="Arial" w:cs="Arial"/>
          <w:sz w:val="24"/>
          <w:szCs w:val="24"/>
          <w:lang w:eastAsia="it-IT"/>
        </w:rPr>
        <w:t>Contabilità</w:t>
      </w:r>
    </w:p>
    <w:p w:rsidR="002E236C" w:rsidRPr="002E236C" w:rsidRDefault="002E236C" w:rsidP="002E236C">
      <w:pPr>
        <w:autoSpaceDE w:val="0"/>
        <w:autoSpaceDN w:val="0"/>
        <w:adjustRightInd w:val="0"/>
        <w:spacing w:after="0" w:line="240" w:lineRule="auto"/>
        <w:ind w:firstLine="5103"/>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Tesoreria</w:t>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p>
    <w:p w:rsidR="002E236C" w:rsidRPr="002E236C" w:rsidRDefault="002E236C" w:rsidP="002E236C">
      <w:pPr>
        <w:autoSpaceDE w:val="0"/>
        <w:autoSpaceDN w:val="0"/>
        <w:adjustRightInd w:val="0"/>
        <w:spacing w:after="0" w:line="240" w:lineRule="auto"/>
        <w:ind w:firstLine="5103"/>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Ricorsi al credito</w:t>
      </w:r>
      <w:r w:rsidRPr="002E236C">
        <w:rPr>
          <w:rFonts w:ascii="Arial" w:eastAsia="Times New Roman" w:hAnsi="Arial" w:cs="Arial"/>
          <w:sz w:val="24"/>
          <w:szCs w:val="24"/>
          <w:lang w:eastAsia="it-IT"/>
        </w:rPr>
        <w:tab/>
      </w:r>
    </w:p>
    <w:p w:rsidR="002E236C" w:rsidRPr="002E236C" w:rsidRDefault="002E236C" w:rsidP="002E236C">
      <w:pPr>
        <w:autoSpaceDE w:val="0"/>
        <w:autoSpaceDN w:val="0"/>
        <w:adjustRightInd w:val="0"/>
        <w:spacing w:after="0" w:line="240" w:lineRule="auto"/>
        <w:ind w:firstLine="5103"/>
        <w:jc w:val="both"/>
        <w:rPr>
          <w:rFonts w:ascii="Arial" w:eastAsia="Times New Roman" w:hAnsi="Arial" w:cs="Arial"/>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76672" behindDoc="0" locked="1" layoutInCell="1" allowOverlap="1">
                <wp:simplePos x="0" y="0"/>
                <wp:positionH relativeFrom="column">
                  <wp:posOffset>3086100</wp:posOffset>
                </wp:positionH>
                <wp:positionV relativeFrom="paragraph">
                  <wp:posOffset>92710</wp:posOffset>
                </wp:positionV>
                <wp:extent cx="0" cy="10160"/>
                <wp:effectExtent l="5715" t="13335" r="13335" b="5080"/>
                <wp:wrapNone/>
                <wp:docPr id="45" name="Connettore 1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F4A96" id="Connettore 1 45"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3pt" to="24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">
                <w10:anchorlock/>
              </v:line>
            </w:pict>
          </mc:Fallback>
        </mc:AlternateContent>
      </w:r>
      <w:r w:rsidRPr="002E236C">
        <w:rPr>
          <w:rFonts w:ascii="Arial" w:eastAsia="Times New Roman" w:hAnsi="Arial" w:cs="Arial"/>
          <w:sz w:val="24"/>
          <w:szCs w:val="24"/>
          <w:lang w:eastAsia="it-IT"/>
        </w:rPr>
        <w:t>Economato</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t xml:space="preserve">  Inventario beni mobili</w:t>
      </w:r>
    </w:p>
    <w:p w:rsidR="002E236C" w:rsidRPr="002E236C" w:rsidRDefault="002E236C" w:rsidP="002E236C">
      <w:pPr>
        <w:autoSpaceDE w:val="0"/>
        <w:autoSpaceDN w:val="0"/>
        <w:adjustRightInd w:val="0"/>
        <w:spacing w:after="0" w:line="240" w:lineRule="auto"/>
        <w:ind w:left="5103"/>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Personale (raccordo contabile con Ufficio paghe associato)</w:t>
      </w:r>
    </w:p>
    <w:p w:rsidR="002E236C" w:rsidRPr="002E236C" w:rsidRDefault="002E236C" w:rsidP="002E236C">
      <w:pPr>
        <w:autoSpaceDE w:val="0"/>
        <w:autoSpaceDN w:val="0"/>
        <w:adjustRightInd w:val="0"/>
        <w:spacing w:after="0" w:line="240" w:lineRule="auto"/>
        <w:ind w:firstLine="5103"/>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Adempimenti Società partecipate</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 xml:space="preserve">                                                                                                     </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95104" behindDoc="0" locked="1" layoutInCell="1" allowOverlap="1">
                <wp:simplePos x="0" y="0"/>
                <wp:positionH relativeFrom="column">
                  <wp:posOffset>1960245</wp:posOffset>
                </wp:positionH>
                <wp:positionV relativeFrom="paragraph">
                  <wp:posOffset>-1205865</wp:posOffset>
                </wp:positionV>
                <wp:extent cx="990600" cy="0"/>
                <wp:effectExtent l="13335" t="55880" r="15240" b="58420"/>
                <wp:wrapNone/>
                <wp:docPr id="44" name="Connettore 1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73602" id="Connettore 1 4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5pt,-94.95pt" to="232.3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">
                <v:stroke endarrow="block"/>
                <w10:anchorlock/>
              </v:line>
            </w:pict>
          </mc:Fallback>
        </mc:AlternateContent>
      </w: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96128" behindDoc="0" locked="1" layoutInCell="1" allowOverlap="1">
                <wp:simplePos x="0" y="0"/>
                <wp:positionH relativeFrom="column">
                  <wp:posOffset>-97155</wp:posOffset>
                </wp:positionH>
                <wp:positionV relativeFrom="paragraph">
                  <wp:posOffset>238125</wp:posOffset>
                </wp:positionV>
                <wp:extent cx="1905000" cy="609600"/>
                <wp:effectExtent l="13335" t="13970" r="5715" b="5080"/>
                <wp:wrapNone/>
                <wp:docPr id="43" name="Casella di tes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solidFill>
                          <a:srgbClr val="FFFFFF"/>
                        </a:solidFill>
                        <a:ln w="9525">
                          <a:solidFill>
                            <a:srgbClr val="000000"/>
                          </a:solidFill>
                          <a:miter lim="800000"/>
                          <a:headEnd/>
                          <a:tailEnd/>
                        </a:ln>
                      </wps:spPr>
                      <wps:txbx>
                        <w:txbxContent>
                          <w:p w:rsidR="001406AD" w:rsidRPr="003E621E" w:rsidRDefault="001406AD" w:rsidP="002E236C">
                            <w:pPr>
                              <w:rPr>
                                <w:color w:val="FF0000"/>
                                <w:sz w:val="20"/>
                                <w:szCs w:val="20"/>
                              </w:rPr>
                            </w:pPr>
                            <w:r>
                              <w:rPr>
                                <w:color w:val="FF0000"/>
                                <w:sz w:val="20"/>
                                <w:szCs w:val="20"/>
                              </w:rPr>
                              <w:t>SERVIZIO TRIBUTI/ENTRATE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3" o:spid="_x0000_s1039" type="#_x0000_t202" style="position:absolute;left:0;text-align:left;margin-left:-7.65pt;margin-top:18.75pt;width:150pt;height:4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">
                <v:textbox>
                  <w:txbxContent>
                    <w:p w:rsidR="001406AD" w:rsidRPr="003E621E" w:rsidRDefault="001406AD" w:rsidP="002E236C">
                      <w:pPr>
                        <w:rPr>
                          <w:color w:val="FF0000"/>
                          <w:sz w:val="20"/>
                          <w:szCs w:val="20"/>
                        </w:rPr>
                      </w:pPr>
                      <w:r>
                        <w:rPr>
                          <w:color w:val="FF0000"/>
                          <w:sz w:val="20"/>
                          <w:szCs w:val="20"/>
                        </w:rPr>
                        <w:t>SERVIZIO TRIBUTI/ENTRATE *</w:t>
                      </w:r>
                    </w:p>
                  </w:txbxContent>
                </v:textbox>
                <w10:anchorlock/>
              </v:shape>
            </w:pict>
          </mc:Fallback>
        </mc:AlternateContent>
      </w:r>
    </w:p>
    <w:p w:rsidR="002E236C" w:rsidRPr="002E236C" w:rsidRDefault="002E236C" w:rsidP="002E236C">
      <w:pPr>
        <w:autoSpaceDE w:val="0"/>
        <w:autoSpaceDN w:val="0"/>
        <w:adjustRightInd w:val="0"/>
        <w:spacing w:after="0" w:line="240" w:lineRule="auto"/>
        <w:ind w:firstLine="5245"/>
        <w:jc w:val="both"/>
        <w:rPr>
          <w:rFonts w:ascii="Arial" w:eastAsia="Times New Roman" w:hAnsi="Arial" w:cs="Arial"/>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77696" behindDoc="0" locked="1" layoutInCell="1" allowOverlap="1">
                <wp:simplePos x="0" y="0"/>
                <wp:positionH relativeFrom="column">
                  <wp:posOffset>3086100</wp:posOffset>
                </wp:positionH>
                <wp:positionV relativeFrom="paragraph">
                  <wp:posOffset>79375</wp:posOffset>
                </wp:positionV>
                <wp:extent cx="0" cy="800735"/>
                <wp:effectExtent l="5715" t="11430" r="13335" b="6985"/>
                <wp:wrapNone/>
                <wp:docPr id="42" name="Connettore 1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AA610" id="Connettore 1 4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25pt" to="243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">
                <w10:anchorlock/>
              </v:line>
            </w:pict>
          </mc:Fallback>
        </mc:AlternateContent>
      </w:r>
      <w:r w:rsidRPr="002E236C">
        <w:rPr>
          <w:rFonts w:ascii="Arial" w:eastAsia="Times New Roman" w:hAnsi="Arial" w:cs="Arial"/>
          <w:sz w:val="24"/>
          <w:szCs w:val="24"/>
          <w:lang w:eastAsia="it-IT"/>
        </w:rPr>
        <w:t>Recupero crediti</w:t>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p>
    <w:p w:rsidR="002E236C" w:rsidRPr="002E236C" w:rsidRDefault="002E236C" w:rsidP="002E236C">
      <w:pPr>
        <w:autoSpaceDE w:val="0"/>
        <w:autoSpaceDN w:val="0"/>
        <w:adjustRightInd w:val="0"/>
        <w:spacing w:after="0" w:line="240" w:lineRule="auto"/>
        <w:ind w:firstLine="5245"/>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I.M.U./T.I.A./Lampade votive</w:t>
      </w:r>
    </w:p>
    <w:p w:rsidR="002E236C" w:rsidRPr="002E236C" w:rsidRDefault="002E236C" w:rsidP="002E236C">
      <w:pPr>
        <w:autoSpaceDE w:val="0"/>
        <w:autoSpaceDN w:val="0"/>
        <w:adjustRightInd w:val="0"/>
        <w:spacing w:after="0" w:line="240" w:lineRule="auto"/>
        <w:ind w:firstLine="5245"/>
        <w:jc w:val="both"/>
        <w:rPr>
          <w:rFonts w:ascii="Arial" w:eastAsia="Times New Roman" w:hAnsi="Arial" w:cs="Arial"/>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97152" behindDoc="0" locked="1" layoutInCell="1" allowOverlap="1">
                <wp:simplePos x="0" y="0"/>
                <wp:positionH relativeFrom="column">
                  <wp:posOffset>1960245</wp:posOffset>
                </wp:positionH>
                <wp:positionV relativeFrom="paragraph">
                  <wp:posOffset>80010</wp:posOffset>
                </wp:positionV>
                <wp:extent cx="990600" cy="0"/>
                <wp:effectExtent l="13335" t="57785" r="15240" b="56515"/>
                <wp:wrapNone/>
                <wp:docPr id="41" name="Connettore 1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4DEC1" id="Connettore 1 4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5pt,6.3pt" to="232.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">
                <v:stroke endarrow="block"/>
                <w10:anchorlock/>
              </v:line>
            </w:pict>
          </mc:Fallback>
        </mc:AlternateContent>
      </w:r>
      <w:r w:rsidRPr="002E236C">
        <w:rPr>
          <w:rFonts w:ascii="Arial" w:eastAsia="Times New Roman" w:hAnsi="Arial" w:cs="Arial"/>
          <w:sz w:val="24"/>
          <w:szCs w:val="24"/>
          <w:lang w:eastAsia="it-IT"/>
        </w:rPr>
        <w:t>Tributi Locali</w:t>
      </w:r>
    </w:p>
    <w:p w:rsidR="002E236C" w:rsidRPr="002E236C" w:rsidRDefault="002E236C" w:rsidP="002E236C">
      <w:pPr>
        <w:autoSpaceDE w:val="0"/>
        <w:autoSpaceDN w:val="0"/>
        <w:adjustRightInd w:val="0"/>
        <w:spacing w:after="0" w:line="240" w:lineRule="auto"/>
        <w:ind w:firstLine="5245"/>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Concessioni cimiteriali</w:t>
      </w:r>
    </w:p>
    <w:p w:rsidR="002E236C" w:rsidRPr="002E236C" w:rsidRDefault="002E236C" w:rsidP="002E236C">
      <w:pPr>
        <w:autoSpaceDE w:val="0"/>
        <w:autoSpaceDN w:val="0"/>
        <w:adjustRightInd w:val="0"/>
        <w:spacing w:after="0" w:line="240" w:lineRule="auto"/>
        <w:ind w:firstLine="5245"/>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Imposta di soggiorno</w:t>
      </w: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78720" behindDoc="0" locked="1" layoutInCell="1" allowOverlap="1">
                <wp:simplePos x="0" y="0"/>
                <wp:positionH relativeFrom="column">
                  <wp:posOffset>3086100</wp:posOffset>
                </wp:positionH>
                <wp:positionV relativeFrom="paragraph">
                  <wp:posOffset>34925</wp:posOffset>
                </wp:positionV>
                <wp:extent cx="0" cy="114300"/>
                <wp:effectExtent l="5715" t="5080" r="13335" b="13970"/>
                <wp:wrapNone/>
                <wp:docPr id="40" name="Connettore 1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6A017" id="Connettore 1 4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75pt" to="24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">
                <w10:anchorlock/>
              </v:line>
            </w:pict>
          </mc:Fallback>
        </mc:AlternateContent>
      </w:r>
      <w:r w:rsidRPr="002E236C">
        <w:rPr>
          <w:rFonts w:ascii="Verdana" w:eastAsia="Times New Roman" w:hAnsi="Verdana" w:cs="Verdana"/>
          <w:b/>
          <w:bCs/>
          <w:color w:val="FF0000"/>
          <w:sz w:val="20"/>
          <w:szCs w:val="20"/>
          <w:lang w:eastAsia="it-IT"/>
        </w:rPr>
        <w:tab/>
      </w:r>
      <w:r w:rsidRPr="002E236C">
        <w:rPr>
          <w:rFonts w:ascii="Verdana" w:eastAsia="Times New Roman" w:hAnsi="Verdana" w:cs="Verdana"/>
          <w:b/>
          <w:bCs/>
          <w:color w:val="FF0000"/>
          <w:sz w:val="20"/>
          <w:szCs w:val="20"/>
          <w:lang w:eastAsia="it-IT"/>
        </w:rPr>
        <w:tab/>
      </w:r>
      <w:r w:rsidRPr="002E236C">
        <w:rPr>
          <w:rFonts w:ascii="Verdana" w:eastAsia="Times New Roman" w:hAnsi="Verdana" w:cs="Verdana"/>
          <w:b/>
          <w:bCs/>
          <w:color w:val="FF0000"/>
          <w:sz w:val="20"/>
          <w:szCs w:val="20"/>
          <w:lang w:eastAsia="it-IT"/>
        </w:rPr>
        <w:tab/>
      </w:r>
      <w:r w:rsidRPr="002E236C">
        <w:rPr>
          <w:rFonts w:ascii="Verdana" w:eastAsia="Times New Roman" w:hAnsi="Verdana" w:cs="Verdana"/>
          <w:b/>
          <w:bCs/>
          <w:color w:val="FF0000"/>
          <w:sz w:val="20"/>
          <w:szCs w:val="20"/>
          <w:lang w:eastAsia="it-IT"/>
        </w:rPr>
        <w:tab/>
      </w:r>
      <w:r w:rsidRPr="002E236C">
        <w:rPr>
          <w:rFonts w:ascii="Verdana" w:eastAsia="Times New Roman" w:hAnsi="Verdana" w:cs="Verdana"/>
          <w:b/>
          <w:bCs/>
          <w:color w:val="FF0000"/>
          <w:sz w:val="20"/>
          <w:szCs w:val="20"/>
          <w:lang w:eastAsia="it-IT"/>
        </w:rPr>
        <w:tab/>
      </w:r>
      <w:r w:rsidRPr="002E236C">
        <w:rPr>
          <w:rFonts w:ascii="Verdana" w:eastAsia="Times New Roman" w:hAnsi="Verdana" w:cs="Verdana"/>
          <w:b/>
          <w:bCs/>
          <w:color w:val="FF0000"/>
          <w:sz w:val="20"/>
          <w:szCs w:val="20"/>
          <w:lang w:eastAsia="it-IT"/>
        </w:rPr>
        <w:tab/>
      </w:r>
      <w:r w:rsidRPr="002E236C">
        <w:rPr>
          <w:rFonts w:ascii="Verdana" w:eastAsia="Times New Roman" w:hAnsi="Verdana" w:cs="Verdana"/>
          <w:b/>
          <w:bCs/>
          <w:color w:val="FF0000"/>
          <w:sz w:val="20"/>
          <w:szCs w:val="20"/>
          <w:lang w:eastAsia="it-IT"/>
        </w:rPr>
        <w:tab/>
      </w:r>
      <w:r w:rsidRPr="002E236C">
        <w:rPr>
          <w:rFonts w:ascii="Verdana" w:eastAsia="Times New Roman" w:hAnsi="Verdana" w:cs="Verdana"/>
          <w:sz w:val="24"/>
          <w:szCs w:val="24"/>
          <w:lang w:eastAsia="it-IT"/>
        </w:rPr>
        <w:t xml:space="preserve">   </w:t>
      </w:r>
      <w:proofErr w:type="spellStart"/>
      <w:r w:rsidRPr="002E236C">
        <w:rPr>
          <w:rFonts w:ascii="Verdana" w:eastAsia="Times New Roman" w:hAnsi="Verdana" w:cs="Verdana"/>
          <w:sz w:val="24"/>
          <w:szCs w:val="24"/>
          <w:lang w:eastAsia="it-IT"/>
        </w:rPr>
        <w:t>Tosap</w:t>
      </w:r>
      <w:proofErr w:type="spellEnd"/>
      <w:r w:rsidRPr="002E236C">
        <w:rPr>
          <w:rFonts w:ascii="Verdana" w:eastAsia="Times New Roman" w:hAnsi="Verdana" w:cs="Verdana"/>
          <w:sz w:val="24"/>
          <w:szCs w:val="24"/>
          <w:lang w:eastAsia="it-IT"/>
        </w:rPr>
        <w:tab/>
      </w: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0"/>
          <w:szCs w:val="20"/>
          <w:lang w:eastAsia="it-IT"/>
        </w:rPr>
      </w:pP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t xml:space="preserve">   </w:t>
      </w:r>
    </w:p>
    <w:p w:rsidR="002E236C" w:rsidRPr="002E236C" w:rsidRDefault="002E236C" w:rsidP="002E236C">
      <w:pPr>
        <w:tabs>
          <w:tab w:val="left" w:pos="8220"/>
        </w:tabs>
        <w:autoSpaceDE w:val="0"/>
        <w:autoSpaceDN w:val="0"/>
        <w:adjustRightInd w:val="0"/>
        <w:spacing w:after="0" w:line="240" w:lineRule="auto"/>
        <w:jc w:val="both"/>
        <w:rPr>
          <w:rFonts w:ascii="Verdana" w:eastAsia="Times New Roman" w:hAnsi="Verdana" w:cs="Verdana"/>
          <w:sz w:val="20"/>
          <w:szCs w:val="20"/>
          <w:lang w:eastAsia="it-IT"/>
        </w:rPr>
      </w:pPr>
      <w:r w:rsidRPr="002E236C">
        <w:rPr>
          <w:rFonts w:ascii="Verdana" w:eastAsia="Times New Roman" w:hAnsi="Verdana" w:cs="Verdana"/>
          <w:sz w:val="20"/>
          <w:szCs w:val="20"/>
          <w:lang w:eastAsia="it-IT"/>
        </w:rPr>
        <w:tab/>
      </w: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0"/>
          <w:szCs w:val="20"/>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0"/>
          <w:szCs w:val="20"/>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0"/>
          <w:szCs w:val="20"/>
          <w:lang w:eastAsia="it-IT"/>
        </w:rPr>
      </w:pPr>
    </w:p>
    <w:p w:rsidR="002E236C" w:rsidRPr="002E236C" w:rsidRDefault="002E236C" w:rsidP="002E236C">
      <w:pPr>
        <w:keepNext/>
        <w:autoSpaceDE w:val="0"/>
        <w:autoSpaceDN w:val="0"/>
        <w:adjustRightInd w:val="0"/>
        <w:spacing w:before="240" w:after="60" w:line="240" w:lineRule="auto"/>
        <w:jc w:val="center"/>
        <w:outlineLvl w:val="0"/>
        <w:rPr>
          <w:rFonts w:ascii="Verdana" w:eastAsia="Times New Roman" w:hAnsi="Verdana" w:cs="Verdana"/>
          <w:b/>
          <w:bCs/>
          <w:sz w:val="20"/>
          <w:szCs w:val="20"/>
          <w:lang w:eastAsia="it-IT"/>
        </w:rPr>
      </w:pP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Gambini Simonetta – Responsabile Area</w:t>
      </w: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Giorni Michela</w:t>
      </w: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Peruzzi Patrizia</w:t>
      </w: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proofErr w:type="spellStart"/>
      <w:r w:rsidRPr="002E236C">
        <w:rPr>
          <w:rFonts w:ascii="Arial" w:eastAsia="Times New Roman" w:hAnsi="Arial" w:cs="Arial"/>
          <w:color w:val="000000"/>
          <w:sz w:val="24"/>
          <w:szCs w:val="24"/>
          <w:lang w:eastAsia="it-IT"/>
        </w:rPr>
        <w:t>Bandini</w:t>
      </w:r>
      <w:proofErr w:type="spellEnd"/>
      <w:r w:rsidRPr="002E236C">
        <w:rPr>
          <w:rFonts w:ascii="Arial" w:eastAsia="Times New Roman" w:hAnsi="Arial" w:cs="Arial"/>
          <w:color w:val="000000"/>
          <w:sz w:val="24"/>
          <w:szCs w:val="24"/>
          <w:lang w:eastAsia="it-IT"/>
        </w:rPr>
        <w:t xml:space="preserve"> Paolo</w:t>
      </w: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 xml:space="preserve">1 Istruttore </w:t>
      </w:r>
      <w:proofErr w:type="spellStart"/>
      <w:r w:rsidRPr="002E236C">
        <w:rPr>
          <w:rFonts w:ascii="Arial" w:eastAsia="Times New Roman" w:hAnsi="Arial" w:cs="Arial"/>
          <w:color w:val="000000"/>
          <w:sz w:val="24"/>
          <w:szCs w:val="24"/>
          <w:lang w:eastAsia="it-IT"/>
        </w:rPr>
        <w:t>Amm.vo</w:t>
      </w:r>
      <w:proofErr w:type="spellEnd"/>
      <w:r w:rsidRPr="002E236C">
        <w:rPr>
          <w:rFonts w:ascii="Arial" w:eastAsia="Times New Roman" w:hAnsi="Arial" w:cs="Arial"/>
          <w:color w:val="000000"/>
          <w:sz w:val="24"/>
          <w:szCs w:val="24"/>
          <w:lang w:eastAsia="it-IT"/>
        </w:rPr>
        <w:t xml:space="preserve"> contabile part time 18 ore settimanali per un anno (v. piano </w:t>
      </w:r>
      <w:proofErr w:type="spellStart"/>
      <w:r w:rsidRPr="002E236C">
        <w:rPr>
          <w:rFonts w:ascii="Arial" w:eastAsia="Times New Roman" w:hAnsi="Arial" w:cs="Arial"/>
          <w:color w:val="000000"/>
          <w:sz w:val="24"/>
          <w:szCs w:val="24"/>
          <w:lang w:eastAsia="it-IT"/>
        </w:rPr>
        <w:t>assunzionale</w:t>
      </w:r>
      <w:proofErr w:type="spellEnd"/>
      <w:r w:rsidRPr="002E236C">
        <w:rPr>
          <w:rFonts w:ascii="Arial" w:eastAsia="Times New Roman" w:hAnsi="Arial" w:cs="Arial"/>
          <w:color w:val="000000"/>
          <w:sz w:val="24"/>
          <w:szCs w:val="24"/>
          <w:lang w:eastAsia="it-IT"/>
        </w:rPr>
        <w:t xml:space="preserve"> 2016)</w:t>
      </w:r>
    </w:p>
    <w:p w:rsidR="002E236C" w:rsidRPr="002E236C" w:rsidRDefault="002E236C" w:rsidP="002E236C">
      <w:pPr>
        <w:autoSpaceDE w:val="0"/>
        <w:autoSpaceDN w:val="0"/>
        <w:adjustRightInd w:val="0"/>
        <w:spacing w:after="0" w:line="240" w:lineRule="auto"/>
        <w:rPr>
          <w:rFonts w:ascii="Arial" w:eastAsia="Times New Roman" w:hAnsi="Arial" w:cs="Arial"/>
          <w:color w:val="000000"/>
          <w:sz w:val="24"/>
          <w:szCs w:val="24"/>
          <w:lang w:eastAsia="it-IT"/>
        </w:rPr>
      </w:pPr>
    </w:p>
    <w:p w:rsidR="002E236C" w:rsidRPr="002E236C" w:rsidRDefault="002E236C" w:rsidP="002E236C">
      <w:pPr>
        <w:autoSpaceDE w:val="0"/>
        <w:autoSpaceDN w:val="0"/>
        <w:adjustRightInd w:val="0"/>
        <w:spacing w:after="0" w:line="240" w:lineRule="auto"/>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Isolani Pia*(Particolare Posizione)</w:t>
      </w: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Fantacci Patrizia*</w:t>
      </w:r>
    </w:p>
    <w:p w:rsidR="002E236C" w:rsidRPr="002E236C" w:rsidRDefault="002E236C" w:rsidP="002E236C">
      <w:pPr>
        <w:autoSpaceDE w:val="0"/>
        <w:autoSpaceDN w:val="0"/>
        <w:adjustRightInd w:val="0"/>
        <w:spacing w:after="0" w:line="240" w:lineRule="auto"/>
        <w:jc w:val="both"/>
        <w:rPr>
          <w:rFonts w:ascii="Arial" w:eastAsia="Times New Roman" w:hAnsi="Arial" w:cs="Arial"/>
          <w:b/>
          <w:bCs/>
          <w:sz w:val="24"/>
          <w:szCs w:val="24"/>
          <w:lang w:eastAsia="it-IT"/>
        </w:rPr>
      </w:pPr>
    </w:p>
    <w:p w:rsidR="002E236C" w:rsidRPr="002E236C" w:rsidRDefault="002E236C" w:rsidP="002E236C">
      <w:pPr>
        <w:autoSpaceDE w:val="0"/>
        <w:autoSpaceDN w:val="0"/>
        <w:adjustRightInd w:val="0"/>
        <w:spacing w:after="0" w:line="240" w:lineRule="auto"/>
        <w:jc w:val="both"/>
        <w:rPr>
          <w:rFonts w:ascii="Arial" w:eastAsia="Times New Roman" w:hAnsi="Arial" w:cs="Arial"/>
          <w:b/>
          <w:bCs/>
          <w:sz w:val="24"/>
          <w:szCs w:val="24"/>
          <w:lang w:eastAsia="it-IT"/>
        </w:rPr>
      </w:pPr>
      <w:r w:rsidRPr="002E236C">
        <w:rPr>
          <w:rFonts w:ascii="Arial" w:eastAsia="Times New Roman" w:hAnsi="Arial" w:cs="Arial"/>
          <w:b/>
          <w:bCs/>
          <w:sz w:val="24"/>
          <w:szCs w:val="24"/>
          <w:lang w:eastAsia="it-IT"/>
        </w:rPr>
        <w:t xml:space="preserve">* Personale con assegnazione temporanea presso la Società Montepulciano Servizi </w:t>
      </w:r>
      <w:proofErr w:type="spellStart"/>
      <w:r w:rsidRPr="002E236C">
        <w:rPr>
          <w:rFonts w:ascii="Arial" w:eastAsia="Times New Roman" w:hAnsi="Arial" w:cs="Arial"/>
          <w:b/>
          <w:bCs/>
          <w:sz w:val="24"/>
          <w:szCs w:val="24"/>
          <w:lang w:eastAsia="it-IT"/>
        </w:rPr>
        <w:t>srl</w:t>
      </w:r>
      <w:proofErr w:type="spellEnd"/>
      <w:r w:rsidRPr="002E236C">
        <w:rPr>
          <w:rFonts w:ascii="Arial" w:eastAsia="Times New Roman" w:hAnsi="Arial" w:cs="Arial"/>
          <w:b/>
          <w:bCs/>
          <w:sz w:val="24"/>
          <w:szCs w:val="24"/>
          <w:lang w:eastAsia="it-IT"/>
        </w:rPr>
        <w:t xml:space="preserve"> a totale capitale del Comune</w:t>
      </w:r>
    </w:p>
    <w:p w:rsidR="002E236C" w:rsidRPr="002E236C" w:rsidRDefault="002E236C" w:rsidP="002E236C">
      <w:pPr>
        <w:autoSpaceDE w:val="0"/>
        <w:autoSpaceDN w:val="0"/>
        <w:adjustRightInd w:val="0"/>
        <w:spacing w:after="0" w:line="240" w:lineRule="auto"/>
        <w:jc w:val="both"/>
        <w:rPr>
          <w:rFonts w:ascii="Verdana" w:eastAsia="Times New Roman" w:hAnsi="Verdana" w:cs="Verdana"/>
          <w:b/>
          <w:bCs/>
          <w:sz w:val="24"/>
          <w:szCs w:val="24"/>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b/>
          <w:bCs/>
          <w:color w:val="000000"/>
          <w:sz w:val="20"/>
          <w:szCs w:val="20"/>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98176" behindDoc="0" locked="1" layoutInCell="1" allowOverlap="1">
                <wp:simplePos x="0" y="0"/>
                <wp:positionH relativeFrom="column">
                  <wp:posOffset>2261235</wp:posOffset>
                </wp:positionH>
                <wp:positionV relativeFrom="paragraph">
                  <wp:posOffset>-182880</wp:posOffset>
                </wp:positionV>
                <wp:extent cx="2514600" cy="742950"/>
                <wp:effectExtent l="0" t="0" r="19050" b="19050"/>
                <wp:wrapNone/>
                <wp:docPr id="39" name="Casella di tes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42950"/>
                        </a:xfrm>
                        <a:prstGeom prst="rect">
                          <a:avLst/>
                        </a:prstGeom>
                        <a:solidFill>
                          <a:srgbClr val="FFFFFF"/>
                        </a:solidFill>
                        <a:ln w="9525">
                          <a:solidFill>
                            <a:srgbClr val="000000"/>
                          </a:solidFill>
                          <a:miter lim="800000"/>
                          <a:headEnd/>
                          <a:tailEnd/>
                        </a:ln>
                      </wps:spPr>
                      <wps:txbx>
                        <w:txbxContent>
                          <w:p w:rsidR="001406AD" w:rsidRDefault="001406AD" w:rsidP="002E236C">
                            <w:pPr>
                              <w:jc w:val="center"/>
                              <w:rPr>
                                <w:color w:val="FF0000"/>
                              </w:rPr>
                            </w:pPr>
                            <w:r>
                              <w:rPr>
                                <w:color w:val="FF0000"/>
                              </w:rPr>
                              <w:t>AREA</w:t>
                            </w:r>
                          </w:p>
                          <w:p w:rsidR="001406AD" w:rsidRPr="004B5DF9" w:rsidRDefault="001406AD" w:rsidP="002E236C">
                            <w:pPr>
                              <w:jc w:val="center"/>
                              <w:rPr>
                                <w:color w:val="FF0000"/>
                              </w:rPr>
                            </w:pPr>
                            <w:r>
                              <w:rPr>
                                <w:color w:val="FF0000"/>
                              </w:rPr>
                              <w:t>AMBIENTE/EDILIZIA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9" o:spid="_x0000_s1040" type="#_x0000_t202" style="position:absolute;left:0;text-align:left;margin-left:178.05pt;margin-top:-14.4pt;width:198pt;height: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">
                <v:textbox>
                  <w:txbxContent>
                    <w:p w:rsidR="001406AD" w:rsidRDefault="001406AD" w:rsidP="002E236C">
                      <w:pPr>
                        <w:jc w:val="center"/>
                        <w:rPr>
                          <w:color w:val="FF0000"/>
                        </w:rPr>
                      </w:pPr>
                      <w:r>
                        <w:rPr>
                          <w:color w:val="FF0000"/>
                        </w:rPr>
                        <w:t>AREA</w:t>
                      </w:r>
                    </w:p>
                    <w:p w:rsidR="001406AD" w:rsidRPr="004B5DF9" w:rsidRDefault="001406AD" w:rsidP="002E236C">
                      <w:pPr>
                        <w:jc w:val="center"/>
                        <w:rPr>
                          <w:color w:val="FF0000"/>
                        </w:rPr>
                      </w:pPr>
                      <w:r>
                        <w:rPr>
                          <w:color w:val="FF0000"/>
                        </w:rPr>
                        <w:t>AMBIENTE/EDILIZIA</w:t>
                      </w:r>
                    </w:p>
                  </w:txbxContent>
                </v:textbox>
                <w10:anchorlock/>
              </v:shape>
            </w:pict>
          </mc:Fallback>
        </mc:AlternateContent>
      </w: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4"/>
          <w:szCs w:val="24"/>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4"/>
          <w:szCs w:val="24"/>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4"/>
          <w:szCs w:val="24"/>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4"/>
          <w:szCs w:val="24"/>
          <w:lang w:eastAsia="it-IT"/>
        </w:rPr>
      </w:pPr>
    </w:p>
    <w:p w:rsidR="002E236C" w:rsidRPr="002E236C" w:rsidRDefault="002E236C" w:rsidP="002E236C">
      <w:pPr>
        <w:autoSpaceDE w:val="0"/>
        <w:autoSpaceDN w:val="0"/>
        <w:adjustRightInd w:val="0"/>
        <w:spacing w:after="0" w:line="240" w:lineRule="auto"/>
        <w:rPr>
          <w:rFonts w:ascii="Verdana" w:eastAsia="Times New Roman" w:hAnsi="Verdana" w:cs="Verdana"/>
          <w:b/>
          <w:bCs/>
          <w:sz w:val="20"/>
          <w:szCs w:val="20"/>
          <w:lang w:eastAsia="it-IT"/>
        </w:rPr>
      </w:pPr>
      <w:r w:rsidRPr="002E236C">
        <w:rPr>
          <w:rFonts w:ascii="Verdana" w:eastAsia="Times New Roman" w:hAnsi="Verdana" w:cs="Verdana"/>
          <w:b/>
          <w:bCs/>
          <w:sz w:val="20"/>
          <w:szCs w:val="20"/>
          <w:lang w:eastAsia="it-IT"/>
        </w:rPr>
        <w:tab/>
        <w:t xml:space="preserve">                                                                        </w:t>
      </w:r>
    </w:p>
    <w:p w:rsidR="002E236C" w:rsidRPr="002E236C" w:rsidRDefault="002E236C" w:rsidP="002E236C">
      <w:pPr>
        <w:autoSpaceDE w:val="0"/>
        <w:autoSpaceDN w:val="0"/>
        <w:adjustRightInd w:val="0"/>
        <w:spacing w:after="0" w:line="240" w:lineRule="auto"/>
        <w:jc w:val="both"/>
        <w:rPr>
          <w:rFonts w:ascii="Verdana" w:eastAsia="Times New Roman" w:hAnsi="Verdana" w:cs="Verdana"/>
          <w:b/>
          <w:bCs/>
          <w:sz w:val="20"/>
          <w:szCs w:val="20"/>
          <w:lang w:eastAsia="it-IT"/>
        </w:rPr>
      </w:pPr>
      <w:r w:rsidRPr="002E236C">
        <w:rPr>
          <w:rFonts w:ascii="Verdana" w:eastAsia="Times New Roman" w:hAnsi="Verdana" w:cs="Verdana"/>
          <w:b/>
          <w:bCs/>
          <w:sz w:val="20"/>
          <w:szCs w:val="20"/>
          <w:lang w:eastAsia="it-IT"/>
        </w:rPr>
        <w:tab/>
      </w:r>
      <w:r w:rsidRPr="002E236C">
        <w:rPr>
          <w:rFonts w:ascii="Verdana" w:eastAsia="Times New Roman" w:hAnsi="Verdana" w:cs="Verdana"/>
          <w:b/>
          <w:bCs/>
          <w:sz w:val="20"/>
          <w:szCs w:val="20"/>
          <w:lang w:eastAsia="it-IT"/>
        </w:rPr>
        <w:tab/>
      </w:r>
      <w:r w:rsidRPr="002E236C">
        <w:rPr>
          <w:rFonts w:ascii="Verdana" w:eastAsia="Times New Roman" w:hAnsi="Verdana" w:cs="Verdana"/>
          <w:b/>
          <w:bCs/>
          <w:sz w:val="20"/>
          <w:szCs w:val="20"/>
          <w:lang w:eastAsia="it-IT"/>
        </w:rPr>
        <w:tab/>
      </w:r>
      <w:r w:rsidRPr="002E236C">
        <w:rPr>
          <w:rFonts w:ascii="Verdana" w:eastAsia="Times New Roman" w:hAnsi="Verdana" w:cs="Verdana"/>
          <w:b/>
          <w:bCs/>
          <w:sz w:val="20"/>
          <w:szCs w:val="20"/>
          <w:lang w:eastAsia="it-IT"/>
        </w:rPr>
        <w:tab/>
      </w:r>
      <w:r w:rsidRPr="002E236C">
        <w:rPr>
          <w:rFonts w:ascii="Verdana" w:eastAsia="Times New Roman" w:hAnsi="Verdana" w:cs="Verdana"/>
          <w:b/>
          <w:bCs/>
          <w:sz w:val="20"/>
          <w:szCs w:val="20"/>
          <w:lang w:eastAsia="it-IT"/>
        </w:rPr>
        <w:tab/>
      </w:r>
    </w:p>
    <w:p w:rsidR="002E236C" w:rsidRPr="002E236C" w:rsidRDefault="002E236C" w:rsidP="002E236C">
      <w:pPr>
        <w:autoSpaceDE w:val="0"/>
        <w:autoSpaceDN w:val="0"/>
        <w:adjustRightInd w:val="0"/>
        <w:spacing w:after="0" w:line="240" w:lineRule="auto"/>
        <w:jc w:val="both"/>
        <w:rPr>
          <w:rFonts w:ascii="Verdana" w:eastAsia="Times New Roman" w:hAnsi="Verdana" w:cs="Verdana"/>
          <w:b/>
          <w:bCs/>
          <w:sz w:val="20"/>
          <w:szCs w:val="20"/>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701248" behindDoc="0" locked="1" layoutInCell="1" allowOverlap="1">
                <wp:simplePos x="0" y="0"/>
                <wp:positionH relativeFrom="column">
                  <wp:posOffset>3027045</wp:posOffset>
                </wp:positionH>
                <wp:positionV relativeFrom="paragraph">
                  <wp:posOffset>162560</wp:posOffset>
                </wp:positionV>
                <wp:extent cx="0" cy="800735"/>
                <wp:effectExtent l="13335" t="12065" r="5715" b="6350"/>
                <wp:wrapNone/>
                <wp:docPr id="38" name="Connettore 1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508DE" id="Connettore 1 3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5pt,12.8pt" to="238.3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">
                <w10:anchorlock/>
              </v:line>
            </w:pict>
          </mc:Fallback>
        </mc:AlternateContent>
      </w:r>
    </w:p>
    <w:p w:rsidR="002E236C" w:rsidRPr="002E236C" w:rsidRDefault="002E236C" w:rsidP="002E236C">
      <w:pPr>
        <w:autoSpaceDE w:val="0"/>
        <w:autoSpaceDN w:val="0"/>
        <w:adjustRightInd w:val="0"/>
        <w:spacing w:after="0" w:line="240" w:lineRule="auto"/>
        <w:jc w:val="both"/>
        <w:rPr>
          <w:rFonts w:ascii="Verdana" w:eastAsia="Times New Roman" w:hAnsi="Verdana" w:cs="Verdana"/>
          <w:b/>
          <w:bCs/>
          <w:sz w:val="20"/>
          <w:szCs w:val="20"/>
          <w:lang w:eastAsia="it-IT"/>
        </w:rPr>
      </w:pPr>
      <w:r w:rsidRPr="002E236C">
        <w:rPr>
          <w:rFonts w:ascii="Verdana" w:eastAsia="Times New Roman" w:hAnsi="Verdana" w:cs="Verdana"/>
          <w:b/>
          <w:bCs/>
          <w:sz w:val="20"/>
          <w:szCs w:val="20"/>
          <w:lang w:eastAsia="it-IT"/>
        </w:rPr>
        <w:tab/>
        <w:t xml:space="preserve">                             </w:t>
      </w:r>
    </w:p>
    <w:p w:rsidR="002E236C" w:rsidRPr="002E236C" w:rsidRDefault="002E236C" w:rsidP="002E236C">
      <w:pPr>
        <w:autoSpaceDE w:val="0"/>
        <w:autoSpaceDN w:val="0"/>
        <w:adjustRightInd w:val="0"/>
        <w:spacing w:after="0" w:line="240" w:lineRule="auto"/>
        <w:ind w:firstLine="5103"/>
        <w:rPr>
          <w:rFonts w:ascii="Arial" w:eastAsia="Times New Roman" w:hAnsi="Arial" w:cs="Arial"/>
          <w:noProof/>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99200" behindDoc="0" locked="1" layoutInCell="1" allowOverlap="1">
                <wp:simplePos x="0" y="0"/>
                <wp:positionH relativeFrom="column">
                  <wp:posOffset>0</wp:posOffset>
                </wp:positionH>
                <wp:positionV relativeFrom="paragraph">
                  <wp:posOffset>-41910</wp:posOffset>
                </wp:positionV>
                <wp:extent cx="1714500" cy="457200"/>
                <wp:effectExtent l="5715" t="11430" r="13335" b="7620"/>
                <wp:wrapNone/>
                <wp:docPr id="37" name="Casella di tes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1406AD" w:rsidRPr="00F624E7" w:rsidRDefault="001406AD" w:rsidP="002E236C">
                            <w:pPr>
                              <w:rPr>
                                <w:color w:val="FF0000"/>
                                <w:sz w:val="20"/>
                                <w:szCs w:val="20"/>
                              </w:rPr>
                            </w:pPr>
                            <w:r>
                              <w:rPr>
                                <w:color w:val="FF0000"/>
                                <w:sz w:val="20"/>
                                <w:szCs w:val="20"/>
                              </w:rPr>
                              <w:t xml:space="preserve">SERVIZIO AMBIENTE/ECOLOGIA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7" o:spid="_x0000_s1041" type="#_x0000_t202" style="position:absolute;left:0;text-align:left;margin-left:0;margin-top:-3.3pt;width:13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">
                <v:textbox>
                  <w:txbxContent>
                    <w:p w:rsidR="001406AD" w:rsidRPr="00F624E7" w:rsidRDefault="001406AD" w:rsidP="002E236C">
                      <w:pPr>
                        <w:rPr>
                          <w:color w:val="FF0000"/>
                          <w:sz w:val="20"/>
                          <w:szCs w:val="20"/>
                        </w:rPr>
                      </w:pPr>
                      <w:r>
                        <w:rPr>
                          <w:color w:val="FF0000"/>
                          <w:sz w:val="20"/>
                          <w:szCs w:val="20"/>
                        </w:rPr>
                        <w:t xml:space="preserve">SERVIZIO AMBIENTE/ECOLOGIA </w:t>
                      </w:r>
                    </w:p>
                  </w:txbxContent>
                </v:textbox>
                <w10:anchorlock/>
              </v:shape>
            </w:pict>
          </mc:Fallback>
        </mc:AlternateContent>
      </w:r>
      <w:r w:rsidRPr="002E236C">
        <w:rPr>
          <w:rFonts w:ascii="Arial" w:eastAsia="Times New Roman" w:hAnsi="Arial" w:cs="Arial"/>
          <w:noProof/>
          <w:sz w:val="24"/>
          <w:szCs w:val="24"/>
          <w:lang w:eastAsia="it-IT"/>
        </w:rPr>
        <w:t>Gestione Ciclo Rifiuti</w:t>
      </w:r>
      <w:r w:rsidRPr="002E236C">
        <w:rPr>
          <w:rFonts w:ascii="Arial" w:eastAsia="Times New Roman" w:hAnsi="Arial" w:cs="Arial"/>
          <w:noProof/>
          <w:sz w:val="24"/>
          <w:szCs w:val="24"/>
          <w:lang w:eastAsia="it-IT"/>
        </w:rPr>
        <w:tab/>
      </w:r>
      <w:r w:rsidRPr="002E236C">
        <w:rPr>
          <w:rFonts w:ascii="Arial" w:eastAsia="Times New Roman" w:hAnsi="Arial" w:cs="Arial"/>
          <w:noProof/>
          <w:sz w:val="24"/>
          <w:szCs w:val="24"/>
          <w:lang w:eastAsia="it-IT"/>
        </w:rPr>
        <w:tab/>
      </w:r>
      <w:r w:rsidRPr="002E236C">
        <w:rPr>
          <w:rFonts w:ascii="Arial" w:eastAsia="Times New Roman" w:hAnsi="Arial" w:cs="Arial"/>
          <w:noProof/>
          <w:sz w:val="24"/>
          <w:szCs w:val="24"/>
          <w:lang w:eastAsia="it-IT"/>
        </w:rPr>
        <w:tab/>
      </w:r>
    </w:p>
    <w:p w:rsidR="002E236C" w:rsidRPr="002E236C" w:rsidRDefault="002E236C" w:rsidP="002E236C">
      <w:pPr>
        <w:autoSpaceDE w:val="0"/>
        <w:autoSpaceDN w:val="0"/>
        <w:adjustRightInd w:val="0"/>
        <w:spacing w:after="0" w:line="240" w:lineRule="auto"/>
        <w:ind w:firstLine="5103"/>
        <w:rPr>
          <w:rFonts w:ascii="Arial" w:eastAsia="Times New Roman" w:hAnsi="Arial" w:cs="Arial"/>
          <w:color w:val="FF0000"/>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700224" behindDoc="0" locked="1" layoutInCell="1" allowOverlap="1">
                <wp:simplePos x="0" y="0"/>
                <wp:positionH relativeFrom="column">
                  <wp:posOffset>1884045</wp:posOffset>
                </wp:positionH>
                <wp:positionV relativeFrom="paragraph">
                  <wp:posOffset>1905</wp:posOffset>
                </wp:positionV>
                <wp:extent cx="990600" cy="0"/>
                <wp:effectExtent l="13335" t="59055" r="15240" b="55245"/>
                <wp:wrapNone/>
                <wp:docPr id="36" name="Connettore 1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4C0B8" id="Connettore 1 3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35pt,.15pt" to="22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">
                <v:stroke endarrow="block"/>
                <w10:anchorlock/>
              </v:line>
            </w:pict>
          </mc:Fallback>
        </mc:AlternateContent>
      </w:r>
      <w:r w:rsidRPr="002E236C">
        <w:rPr>
          <w:rFonts w:ascii="Arial" w:eastAsia="Times New Roman" w:hAnsi="Arial" w:cs="Arial"/>
          <w:sz w:val="24"/>
          <w:szCs w:val="24"/>
          <w:lang w:eastAsia="it-IT"/>
        </w:rPr>
        <w:t>Ecologia</w:t>
      </w:r>
    </w:p>
    <w:p w:rsidR="002E236C" w:rsidRPr="002E236C" w:rsidRDefault="002E236C" w:rsidP="002E236C">
      <w:pPr>
        <w:autoSpaceDE w:val="0"/>
        <w:autoSpaceDN w:val="0"/>
        <w:adjustRightInd w:val="0"/>
        <w:spacing w:after="0" w:line="240" w:lineRule="auto"/>
        <w:ind w:firstLine="5103"/>
        <w:rPr>
          <w:rFonts w:ascii="Arial" w:eastAsia="Times New Roman" w:hAnsi="Arial" w:cs="Arial"/>
          <w:sz w:val="24"/>
          <w:szCs w:val="24"/>
          <w:lang w:eastAsia="it-IT"/>
        </w:rPr>
      </w:pPr>
      <w:r w:rsidRPr="002E236C">
        <w:rPr>
          <w:rFonts w:ascii="Arial" w:eastAsia="Times New Roman" w:hAnsi="Arial" w:cs="Arial"/>
          <w:sz w:val="24"/>
          <w:szCs w:val="24"/>
          <w:lang w:eastAsia="it-IT"/>
        </w:rPr>
        <w:t xml:space="preserve">Autorizzazioni ambientali </w:t>
      </w:r>
    </w:p>
    <w:p w:rsidR="002E236C" w:rsidRPr="002E236C" w:rsidRDefault="002E236C" w:rsidP="002E236C">
      <w:pPr>
        <w:autoSpaceDE w:val="0"/>
        <w:autoSpaceDN w:val="0"/>
        <w:adjustRightInd w:val="0"/>
        <w:spacing w:after="0" w:line="240" w:lineRule="auto"/>
        <w:ind w:firstLine="5103"/>
        <w:rPr>
          <w:rFonts w:ascii="Arial" w:eastAsia="Times New Roman" w:hAnsi="Arial" w:cs="Arial"/>
          <w:sz w:val="24"/>
          <w:szCs w:val="24"/>
          <w:lang w:eastAsia="it-IT"/>
        </w:rPr>
      </w:pPr>
      <w:r w:rsidRPr="002E236C">
        <w:rPr>
          <w:rFonts w:ascii="Arial" w:eastAsia="Times New Roman" w:hAnsi="Arial" w:cs="Arial"/>
          <w:sz w:val="24"/>
          <w:szCs w:val="24"/>
          <w:lang w:eastAsia="it-IT"/>
        </w:rPr>
        <w:t xml:space="preserve">Edilizia   </w:t>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t xml:space="preserve">                        </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p>
    <w:p w:rsidR="002E236C" w:rsidRPr="002E236C" w:rsidRDefault="002E236C" w:rsidP="002E236C">
      <w:pPr>
        <w:autoSpaceDE w:val="0"/>
        <w:autoSpaceDN w:val="0"/>
        <w:adjustRightInd w:val="0"/>
        <w:spacing w:after="0" w:line="240" w:lineRule="auto"/>
        <w:rPr>
          <w:rFonts w:ascii="Arial" w:eastAsia="Times New Roman" w:hAnsi="Arial" w:cs="Arial"/>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724800" behindDoc="0" locked="1" layoutInCell="1" allowOverlap="1">
                <wp:simplePos x="0" y="0"/>
                <wp:positionH relativeFrom="column">
                  <wp:posOffset>0</wp:posOffset>
                </wp:positionH>
                <wp:positionV relativeFrom="paragraph">
                  <wp:posOffset>-38735</wp:posOffset>
                </wp:positionV>
                <wp:extent cx="1714500" cy="457200"/>
                <wp:effectExtent l="5715" t="8890" r="13335" b="10160"/>
                <wp:wrapNone/>
                <wp:docPr id="35" name="Casella di tes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1406AD" w:rsidRPr="00F624E7" w:rsidRDefault="001406AD" w:rsidP="002E236C">
                            <w:pPr>
                              <w:rPr>
                                <w:color w:val="FF0000"/>
                                <w:sz w:val="20"/>
                                <w:szCs w:val="20"/>
                              </w:rPr>
                            </w:pPr>
                            <w:r>
                              <w:rPr>
                                <w:color w:val="FF0000"/>
                                <w:sz w:val="20"/>
                                <w:szCs w:val="20"/>
                              </w:rPr>
                              <w:t xml:space="preserve">SERVIZIO TRASPORTO PUBBLICO LOCALE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5" o:spid="_x0000_s1042" type="#_x0000_t202" style="position:absolute;margin-left:0;margin-top:-3.05pt;width:13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">
                <v:textbox>
                  <w:txbxContent>
                    <w:p w:rsidR="001406AD" w:rsidRPr="00F624E7" w:rsidRDefault="001406AD" w:rsidP="002E236C">
                      <w:pPr>
                        <w:rPr>
                          <w:color w:val="FF0000"/>
                          <w:sz w:val="20"/>
                          <w:szCs w:val="20"/>
                        </w:rPr>
                      </w:pPr>
                      <w:r>
                        <w:rPr>
                          <w:color w:val="FF0000"/>
                          <w:sz w:val="20"/>
                          <w:szCs w:val="20"/>
                        </w:rPr>
                        <w:t xml:space="preserve">SERVIZIO TRASPORTO PUBBLICO LOCALE </w:t>
                      </w:r>
                    </w:p>
                  </w:txbxContent>
                </v:textbox>
                <w10:anchorlock/>
              </v:shape>
            </w:pict>
          </mc:Fallback>
        </mc:AlternateContent>
      </w:r>
      <w:r w:rsidRPr="002E236C">
        <w:rPr>
          <w:rFonts w:ascii="Arial" w:eastAsia="Times New Roman" w:hAnsi="Arial" w:cs="Arial"/>
          <w:color w:val="FF0000"/>
          <w:sz w:val="24"/>
          <w:szCs w:val="24"/>
          <w:lang w:eastAsia="it-IT"/>
        </w:rPr>
        <w:tab/>
      </w:r>
      <w:r w:rsidRPr="002E236C">
        <w:rPr>
          <w:rFonts w:ascii="Arial" w:eastAsia="Times New Roman" w:hAnsi="Arial" w:cs="Arial"/>
          <w:color w:val="FF0000"/>
          <w:sz w:val="24"/>
          <w:szCs w:val="24"/>
          <w:lang w:eastAsia="it-IT"/>
        </w:rPr>
        <w:tab/>
      </w:r>
      <w:r w:rsidRPr="002E236C">
        <w:rPr>
          <w:rFonts w:ascii="Arial" w:eastAsia="Times New Roman" w:hAnsi="Arial" w:cs="Arial"/>
          <w:color w:val="FF0000"/>
          <w:sz w:val="24"/>
          <w:szCs w:val="24"/>
          <w:lang w:eastAsia="it-IT"/>
        </w:rPr>
        <w:tab/>
      </w:r>
      <w:r w:rsidRPr="002E236C">
        <w:rPr>
          <w:rFonts w:ascii="Arial" w:eastAsia="Times New Roman" w:hAnsi="Arial" w:cs="Arial"/>
          <w:color w:val="FF0000"/>
          <w:sz w:val="24"/>
          <w:szCs w:val="24"/>
          <w:lang w:eastAsia="it-IT"/>
        </w:rPr>
        <w:tab/>
      </w:r>
      <w:r w:rsidRPr="002E236C">
        <w:rPr>
          <w:rFonts w:ascii="Arial" w:eastAsia="Times New Roman" w:hAnsi="Arial" w:cs="Arial"/>
          <w:color w:val="FF0000"/>
          <w:sz w:val="24"/>
          <w:szCs w:val="24"/>
          <w:lang w:eastAsia="it-IT"/>
        </w:rPr>
        <w:tab/>
      </w:r>
      <w:r w:rsidRPr="002E236C">
        <w:rPr>
          <w:rFonts w:ascii="Arial" w:eastAsia="Times New Roman" w:hAnsi="Arial" w:cs="Arial"/>
          <w:color w:val="FF0000"/>
          <w:sz w:val="24"/>
          <w:szCs w:val="24"/>
          <w:lang w:eastAsia="it-IT"/>
        </w:rPr>
        <w:tab/>
      </w:r>
      <w:r w:rsidRPr="002E236C">
        <w:rPr>
          <w:rFonts w:ascii="Arial" w:eastAsia="Times New Roman" w:hAnsi="Arial" w:cs="Arial"/>
          <w:color w:val="FF0000"/>
          <w:sz w:val="24"/>
          <w:szCs w:val="24"/>
          <w:lang w:eastAsia="it-IT"/>
        </w:rPr>
        <w:tab/>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p>
    <w:p w:rsidR="002E236C" w:rsidRPr="002E236C" w:rsidRDefault="002E236C" w:rsidP="002E236C">
      <w:pPr>
        <w:autoSpaceDE w:val="0"/>
        <w:autoSpaceDN w:val="0"/>
        <w:adjustRightInd w:val="0"/>
        <w:spacing w:after="0" w:line="240" w:lineRule="auto"/>
        <w:rPr>
          <w:rFonts w:ascii="Arial" w:eastAsia="Times New Roman" w:hAnsi="Arial" w:cs="Arial"/>
          <w:sz w:val="24"/>
          <w:szCs w:val="24"/>
          <w:lang w:eastAsia="it-IT"/>
        </w:rPr>
      </w:pPr>
    </w:p>
    <w:p w:rsidR="002E236C" w:rsidRPr="002E236C" w:rsidRDefault="002E236C" w:rsidP="002E236C">
      <w:pPr>
        <w:autoSpaceDE w:val="0"/>
        <w:autoSpaceDN w:val="0"/>
        <w:adjustRightInd w:val="0"/>
        <w:spacing w:after="0" w:line="240" w:lineRule="auto"/>
        <w:rPr>
          <w:rFonts w:ascii="Arial" w:eastAsia="Times New Roman" w:hAnsi="Arial" w:cs="Arial"/>
          <w:sz w:val="24"/>
          <w:szCs w:val="24"/>
          <w:lang w:eastAsia="it-IT"/>
        </w:rPr>
      </w:pPr>
    </w:p>
    <w:p w:rsidR="002E236C" w:rsidRPr="002E236C" w:rsidRDefault="002E236C" w:rsidP="002E236C">
      <w:pPr>
        <w:autoSpaceDE w:val="0"/>
        <w:autoSpaceDN w:val="0"/>
        <w:adjustRightInd w:val="0"/>
        <w:spacing w:after="0" w:line="240" w:lineRule="auto"/>
        <w:rPr>
          <w:rFonts w:ascii="Arial" w:eastAsia="Times New Roman" w:hAnsi="Arial" w:cs="Arial"/>
          <w:sz w:val="24"/>
          <w:szCs w:val="24"/>
          <w:lang w:eastAsia="it-IT"/>
        </w:rPr>
      </w:pP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Duchini Massimo – Responsabile Area</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proofErr w:type="spellStart"/>
      <w:r w:rsidRPr="002E236C">
        <w:rPr>
          <w:rFonts w:ascii="Arial" w:eastAsia="Times New Roman" w:hAnsi="Arial" w:cs="Arial"/>
          <w:sz w:val="24"/>
          <w:szCs w:val="24"/>
          <w:lang w:eastAsia="it-IT"/>
        </w:rPr>
        <w:t>Muzzi</w:t>
      </w:r>
      <w:proofErr w:type="spellEnd"/>
      <w:r w:rsidRPr="002E236C">
        <w:rPr>
          <w:rFonts w:ascii="Arial" w:eastAsia="Times New Roman" w:hAnsi="Arial" w:cs="Arial"/>
          <w:sz w:val="24"/>
          <w:szCs w:val="24"/>
          <w:lang w:eastAsia="it-IT"/>
        </w:rPr>
        <w:t xml:space="preserve"> Franca</w:t>
      </w: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 xml:space="preserve">1 Istruttore </w:t>
      </w:r>
      <w:proofErr w:type="spellStart"/>
      <w:r w:rsidRPr="002E236C">
        <w:rPr>
          <w:rFonts w:ascii="Arial" w:eastAsia="Times New Roman" w:hAnsi="Arial" w:cs="Arial"/>
          <w:color w:val="000000"/>
          <w:sz w:val="24"/>
          <w:szCs w:val="24"/>
          <w:lang w:eastAsia="it-IT"/>
        </w:rPr>
        <w:t>Amm.vo</w:t>
      </w:r>
      <w:proofErr w:type="spellEnd"/>
      <w:r w:rsidRPr="002E236C">
        <w:rPr>
          <w:rFonts w:ascii="Arial" w:eastAsia="Times New Roman" w:hAnsi="Arial" w:cs="Arial"/>
          <w:color w:val="000000"/>
          <w:sz w:val="24"/>
          <w:szCs w:val="24"/>
          <w:lang w:eastAsia="it-IT"/>
        </w:rPr>
        <w:t xml:space="preserve"> contabile part time 18 ore settimanali per 11 mesi (v. piano </w:t>
      </w:r>
      <w:proofErr w:type="spellStart"/>
      <w:r w:rsidRPr="002E236C">
        <w:rPr>
          <w:rFonts w:ascii="Arial" w:eastAsia="Times New Roman" w:hAnsi="Arial" w:cs="Arial"/>
          <w:color w:val="000000"/>
          <w:sz w:val="24"/>
          <w:szCs w:val="24"/>
          <w:lang w:eastAsia="it-IT"/>
        </w:rPr>
        <w:t>assunzionale</w:t>
      </w:r>
      <w:proofErr w:type="spellEnd"/>
      <w:r w:rsidRPr="002E236C">
        <w:rPr>
          <w:rFonts w:ascii="Arial" w:eastAsia="Times New Roman" w:hAnsi="Arial" w:cs="Arial"/>
          <w:color w:val="000000"/>
          <w:sz w:val="24"/>
          <w:szCs w:val="24"/>
          <w:lang w:eastAsia="it-IT"/>
        </w:rPr>
        <w:t xml:space="preserve"> 2016)</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*Casini Katiuscia (in collaborazione con Area Urbanistica)</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 xml:space="preserve">* </w:t>
      </w:r>
      <w:proofErr w:type="spellStart"/>
      <w:r w:rsidRPr="002E236C">
        <w:rPr>
          <w:rFonts w:ascii="Arial" w:eastAsia="Times New Roman" w:hAnsi="Arial" w:cs="Arial"/>
          <w:sz w:val="24"/>
          <w:szCs w:val="24"/>
          <w:lang w:eastAsia="it-IT"/>
        </w:rPr>
        <w:t>Morgantini</w:t>
      </w:r>
      <w:proofErr w:type="spellEnd"/>
      <w:r w:rsidRPr="002E236C">
        <w:rPr>
          <w:rFonts w:ascii="Arial" w:eastAsia="Times New Roman" w:hAnsi="Arial" w:cs="Arial"/>
          <w:sz w:val="24"/>
          <w:szCs w:val="24"/>
          <w:lang w:eastAsia="it-IT"/>
        </w:rPr>
        <w:t xml:space="preserve"> </w:t>
      </w:r>
      <w:proofErr w:type="gramStart"/>
      <w:r w:rsidRPr="002E236C">
        <w:rPr>
          <w:rFonts w:ascii="Arial" w:eastAsia="Times New Roman" w:hAnsi="Arial" w:cs="Arial"/>
          <w:sz w:val="24"/>
          <w:szCs w:val="24"/>
          <w:lang w:eastAsia="it-IT"/>
        </w:rPr>
        <w:t>Michele  (</w:t>
      </w:r>
      <w:proofErr w:type="gramEnd"/>
      <w:r w:rsidRPr="002E236C">
        <w:rPr>
          <w:rFonts w:ascii="Arial" w:eastAsia="Times New Roman" w:hAnsi="Arial" w:cs="Arial"/>
          <w:sz w:val="24"/>
          <w:szCs w:val="24"/>
          <w:lang w:eastAsia="it-IT"/>
        </w:rPr>
        <w:t>in collaborazione con Area Urbanistica)</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Dente Stefano (particolare posizione)</w:t>
      </w:r>
    </w:p>
    <w:p w:rsidR="002E236C" w:rsidRPr="002E236C" w:rsidRDefault="002E236C" w:rsidP="002E236C">
      <w:pPr>
        <w:autoSpaceDE w:val="0"/>
        <w:autoSpaceDN w:val="0"/>
        <w:adjustRightInd w:val="0"/>
        <w:spacing w:after="0" w:line="240" w:lineRule="auto"/>
        <w:jc w:val="both"/>
        <w:rPr>
          <w:rFonts w:ascii="Verdana" w:eastAsia="Times New Roman" w:hAnsi="Verdana" w:cs="Verdana"/>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702272" behindDoc="0" locked="1" layoutInCell="1" allowOverlap="1">
                <wp:simplePos x="0" y="0"/>
                <wp:positionH relativeFrom="column">
                  <wp:posOffset>2413635</wp:posOffset>
                </wp:positionH>
                <wp:positionV relativeFrom="paragraph">
                  <wp:posOffset>313690</wp:posOffset>
                </wp:positionV>
                <wp:extent cx="2514600" cy="695325"/>
                <wp:effectExtent l="0" t="0" r="19050" b="28575"/>
                <wp:wrapNone/>
                <wp:docPr id="34" name="Casella di tes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95325"/>
                        </a:xfrm>
                        <a:prstGeom prst="rect">
                          <a:avLst/>
                        </a:prstGeom>
                        <a:solidFill>
                          <a:srgbClr val="FFFFFF"/>
                        </a:solidFill>
                        <a:ln w="9525">
                          <a:solidFill>
                            <a:srgbClr val="000000"/>
                          </a:solidFill>
                          <a:miter lim="800000"/>
                          <a:headEnd/>
                          <a:tailEnd/>
                        </a:ln>
                      </wps:spPr>
                      <wps:txbx>
                        <w:txbxContent>
                          <w:p w:rsidR="001406AD" w:rsidRDefault="001406AD" w:rsidP="002E236C">
                            <w:pPr>
                              <w:jc w:val="center"/>
                              <w:rPr>
                                <w:color w:val="FF0000"/>
                              </w:rPr>
                            </w:pPr>
                            <w:r>
                              <w:rPr>
                                <w:color w:val="FF0000"/>
                              </w:rPr>
                              <w:t>AREA</w:t>
                            </w:r>
                          </w:p>
                          <w:p w:rsidR="001406AD" w:rsidRPr="004B5DF9" w:rsidRDefault="001406AD" w:rsidP="002E236C">
                            <w:pPr>
                              <w:jc w:val="center"/>
                              <w:rPr>
                                <w:color w:val="FF0000"/>
                              </w:rPr>
                            </w:pPr>
                            <w:r>
                              <w:rPr>
                                <w:color w:val="FF0000"/>
                              </w:rPr>
                              <w:t>URBANISTICA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4" o:spid="_x0000_s1043" type="#_x0000_t202" style="position:absolute;left:0;text-align:left;margin-left:190.05pt;margin-top:24.7pt;width:198pt;height:5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">
                <v:textbox>
                  <w:txbxContent>
                    <w:p w:rsidR="001406AD" w:rsidRDefault="001406AD" w:rsidP="002E236C">
                      <w:pPr>
                        <w:jc w:val="center"/>
                        <w:rPr>
                          <w:color w:val="FF0000"/>
                        </w:rPr>
                      </w:pPr>
                      <w:r>
                        <w:rPr>
                          <w:color w:val="FF0000"/>
                        </w:rPr>
                        <w:t>AREA</w:t>
                      </w:r>
                    </w:p>
                    <w:p w:rsidR="001406AD" w:rsidRPr="004B5DF9" w:rsidRDefault="001406AD" w:rsidP="002E236C">
                      <w:pPr>
                        <w:jc w:val="center"/>
                        <w:rPr>
                          <w:color w:val="FF0000"/>
                        </w:rPr>
                      </w:pPr>
                      <w:r>
                        <w:rPr>
                          <w:color w:val="FF0000"/>
                        </w:rPr>
                        <w:t>URBANISTICA</w:t>
                      </w:r>
                    </w:p>
                  </w:txbxContent>
                </v:textbox>
                <w10:anchorlock/>
              </v:shape>
            </w:pict>
          </mc:Fallback>
        </mc:AlternateContent>
      </w: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4"/>
          <w:szCs w:val="24"/>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4"/>
          <w:szCs w:val="24"/>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4"/>
          <w:szCs w:val="24"/>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4"/>
          <w:szCs w:val="24"/>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4"/>
          <w:szCs w:val="24"/>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4"/>
          <w:szCs w:val="24"/>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80768" behindDoc="0" locked="1" layoutInCell="1" allowOverlap="1">
                <wp:simplePos x="0" y="0"/>
                <wp:positionH relativeFrom="column">
                  <wp:posOffset>3099435</wp:posOffset>
                </wp:positionH>
                <wp:positionV relativeFrom="paragraph">
                  <wp:posOffset>151765</wp:posOffset>
                </wp:positionV>
                <wp:extent cx="9525" cy="990600"/>
                <wp:effectExtent l="0" t="0" r="28575" b="19050"/>
                <wp:wrapNone/>
                <wp:docPr id="33" name="Connettore 1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50B11" id="Connettore 1 3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11.95pt" to="244.8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">
                <w10:anchorlock/>
              </v:line>
            </w:pict>
          </mc:Fallback>
        </mc:AlternateContent>
      </w:r>
    </w:p>
    <w:p w:rsidR="002E236C" w:rsidRPr="002E236C" w:rsidRDefault="002E236C" w:rsidP="002E236C">
      <w:pPr>
        <w:autoSpaceDE w:val="0"/>
        <w:autoSpaceDN w:val="0"/>
        <w:adjustRightInd w:val="0"/>
        <w:spacing w:after="0" w:line="240" w:lineRule="auto"/>
        <w:ind w:firstLine="5245"/>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Cave</w:t>
      </w:r>
    </w:p>
    <w:p w:rsidR="002E236C" w:rsidRPr="002E236C" w:rsidRDefault="002E236C" w:rsidP="002E236C">
      <w:pPr>
        <w:autoSpaceDE w:val="0"/>
        <w:autoSpaceDN w:val="0"/>
        <w:adjustRightInd w:val="0"/>
        <w:spacing w:after="0" w:line="240" w:lineRule="auto"/>
        <w:ind w:firstLine="5245"/>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Urbanistica</w:t>
      </w:r>
    </w:p>
    <w:p w:rsidR="002E236C" w:rsidRPr="002E236C" w:rsidRDefault="002E236C" w:rsidP="002E236C">
      <w:pPr>
        <w:autoSpaceDE w:val="0"/>
        <w:autoSpaceDN w:val="0"/>
        <w:adjustRightInd w:val="0"/>
        <w:spacing w:after="0" w:line="240" w:lineRule="auto"/>
        <w:ind w:firstLine="5245"/>
        <w:jc w:val="both"/>
        <w:rPr>
          <w:rFonts w:ascii="Arial" w:eastAsia="Times New Roman" w:hAnsi="Arial" w:cs="Arial"/>
          <w:color w:val="FF0000"/>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704320" behindDoc="0" locked="1" layoutInCell="1" allowOverlap="1">
                <wp:simplePos x="0" y="0"/>
                <wp:positionH relativeFrom="column">
                  <wp:posOffset>1960245</wp:posOffset>
                </wp:positionH>
                <wp:positionV relativeFrom="paragraph">
                  <wp:posOffset>-31750</wp:posOffset>
                </wp:positionV>
                <wp:extent cx="990600" cy="0"/>
                <wp:effectExtent l="13335" t="52705" r="15240" b="61595"/>
                <wp:wrapNone/>
                <wp:docPr id="32" name="Connettore 1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1E8C6" id="Connettore 1 3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5pt,-2.5pt" to="232.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">
                <v:stroke endarrow="block"/>
                <w10:anchorlock/>
              </v:line>
            </w:pict>
          </mc:Fallback>
        </mc:AlternateContent>
      </w:r>
      <w:r w:rsidRPr="002E236C">
        <w:rPr>
          <w:rFonts w:ascii="Arial" w:eastAsia="Times New Roman" w:hAnsi="Arial" w:cs="Arial"/>
          <w:sz w:val="24"/>
          <w:szCs w:val="24"/>
          <w:lang w:eastAsia="it-IT"/>
        </w:rPr>
        <w:t>Pianificazione</w:t>
      </w:r>
      <w:r w:rsidRPr="002E236C">
        <w:rPr>
          <w:rFonts w:ascii="Arial" w:eastAsia="Times New Roman" w:hAnsi="Arial" w:cs="Arial"/>
          <w:color w:val="FF0000"/>
          <w:sz w:val="24"/>
          <w:szCs w:val="24"/>
          <w:lang w:eastAsia="it-IT"/>
        </w:rPr>
        <w:tab/>
      </w:r>
    </w:p>
    <w:p w:rsidR="00DD7231" w:rsidRDefault="002E236C" w:rsidP="002E236C">
      <w:pPr>
        <w:autoSpaceDE w:val="0"/>
        <w:autoSpaceDN w:val="0"/>
        <w:adjustRightInd w:val="0"/>
        <w:spacing w:after="0" w:line="240" w:lineRule="auto"/>
        <w:ind w:firstLine="5245"/>
        <w:jc w:val="both"/>
        <w:rPr>
          <w:rFonts w:ascii="Arial" w:eastAsia="Times New Roman" w:hAnsi="Arial" w:cs="Arial"/>
          <w:color w:val="FF0000"/>
          <w:sz w:val="24"/>
          <w:szCs w:val="24"/>
          <w:lang w:eastAsia="it-IT"/>
        </w:rPr>
      </w:pPr>
      <w:r w:rsidRPr="002E236C">
        <w:rPr>
          <w:rFonts w:ascii="Arial" w:eastAsia="Times New Roman" w:hAnsi="Arial" w:cs="Arial"/>
          <w:sz w:val="24"/>
          <w:szCs w:val="24"/>
          <w:lang w:eastAsia="it-IT"/>
        </w:rPr>
        <w:t>S.I.T.</w:t>
      </w:r>
      <w:r w:rsidRPr="002E236C">
        <w:rPr>
          <w:rFonts w:ascii="Arial" w:eastAsia="Times New Roman" w:hAnsi="Arial" w:cs="Arial"/>
          <w:color w:val="FF0000"/>
          <w:sz w:val="24"/>
          <w:szCs w:val="24"/>
          <w:lang w:eastAsia="it-IT"/>
        </w:rPr>
        <w:tab/>
      </w:r>
    </w:p>
    <w:p w:rsidR="00DD7231" w:rsidRPr="002E236C" w:rsidRDefault="00DD7231" w:rsidP="00DD7231">
      <w:pPr>
        <w:autoSpaceDE w:val="0"/>
        <w:autoSpaceDN w:val="0"/>
        <w:adjustRightInd w:val="0"/>
        <w:spacing w:after="0" w:line="240" w:lineRule="auto"/>
        <w:ind w:firstLine="5245"/>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Valutazione ambientale strategica</w:t>
      </w:r>
    </w:p>
    <w:p w:rsidR="002E236C" w:rsidRPr="002E236C" w:rsidRDefault="00DD7231" w:rsidP="002E236C">
      <w:pPr>
        <w:autoSpaceDE w:val="0"/>
        <w:autoSpaceDN w:val="0"/>
        <w:adjustRightInd w:val="0"/>
        <w:spacing w:after="0" w:line="240" w:lineRule="auto"/>
        <w:ind w:firstLine="5245"/>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Concessioni Termali</w:t>
      </w:r>
      <w:r w:rsidR="002E236C" w:rsidRPr="002E236C">
        <w:rPr>
          <w:rFonts w:ascii="Arial" w:eastAsia="Times New Roman" w:hAnsi="Arial" w:cs="Arial"/>
          <w:color w:val="FF0000"/>
          <w:sz w:val="24"/>
          <w:szCs w:val="24"/>
          <w:lang w:eastAsia="it-IT"/>
        </w:rPr>
        <w:tab/>
      </w:r>
      <w:r w:rsidR="002E236C" w:rsidRPr="002E236C">
        <w:rPr>
          <w:rFonts w:ascii="Arial" w:eastAsia="Times New Roman" w:hAnsi="Arial" w:cs="Arial"/>
          <w:color w:val="FF0000"/>
          <w:sz w:val="24"/>
          <w:szCs w:val="24"/>
          <w:lang w:eastAsia="it-IT"/>
        </w:rPr>
        <w:tab/>
      </w:r>
      <w:r w:rsidR="002E236C" w:rsidRPr="002E236C">
        <w:rPr>
          <w:rFonts w:ascii="Arial" w:eastAsia="Times New Roman" w:hAnsi="Arial" w:cs="Arial"/>
          <w:color w:val="FF0000"/>
          <w:sz w:val="24"/>
          <w:szCs w:val="24"/>
          <w:lang w:eastAsia="it-IT"/>
        </w:rPr>
        <w:tab/>
      </w:r>
      <w:r w:rsidR="002E236C" w:rsidRPr="002E236C">
        <w:rPr>
          <w:rFonts w:ascii="Arial" w:eastAsia="Times New Roman" w:hAnsi="Arial" w:cs="Arial"/>
          <w:color w:val="FF0000"/>
          <w:sz w:val="24"/>
          <w:szCs w:val="24"/>
          <w:lang w:eastAsia="it-IT"/>
        </w:rPr>
        <w:tab/>
      </w:r>
      <w:r w:rsidR="002E236C" w:rsidRPr="002E236C">
        <w:rPr>
          <w:rFonts w:ascii="Arial" w:eastAsia="Times New Roman" w:hAnsi="Arial" w:cs="Arial"/>
          <w:color w:val="FF0000"/>
          <w:sz w:val="24"/>
          <w:szCs w:val="24"/>
          <w:lang w:eastAsia="it-IT"/>
        </w:rPr>
        <w:tab/>
      </w:r>
      <w:r w:rsidR="002E236C" w:rsidRPr="002E236C">
        <w:rPr>
          <w:rFonts w:ascii="Arial" w:eastAsia="Times New Roman" w:hAnsi="Arial" w:cs="Arial"/>
          <w:color w:val="FF0000"/>
          <w:sz w:val="24"/>
          <w:szCs w:val="24"/>
          <w:lang w:eastAsia="it-IT"/>
        </w:rPr>
        <w:tab/>
        <w:t xml:space="preserve">                                                   </w:t>
      </w:r>
      <w:r w:rsidR="002E236C" w:rsidRPr="002E236C">
        <w:rPr>
          <w:rFonts w:ascii="Arial" w:eastAsia="Times New Roman" w:hAnsi="Arial" w:cs="Arial"/>
          <w:color w:val="FF0000"/>
          <w:sz w:val="24"/>
          <w:szCs w:val="24"/>
          <w:lang w:eastAsia="it-IT"/>
        </w:rPr>
        <w:tab/>
        <w:t xml:space="preserve">                                                                    </w:t>
      </w:r>
      <w:r>
        <w:rPr>
          <w:rFonts w:ascii="Arial" w:eastAsia="Times New Roman" w:hAnsi="Arial" w:cs="Arial"/>
          <w:color w:val="FF0000"/>
          <w:sz w:val="24"/>
          <w:szCs w:val="24"/>
          <w:lang w:eastAsia="it-IT"/>
        </w:rPr>
        <w:t xml:space="preserve">   </w:t>
      </w:r>
    </w:p>
    <w:p w:rsidR="002E236C" w:rsidRPr="002E236C" w:rsidRDefault="002E236C" w:rsidP="002E236C">
      <w:pPr>
        <w:autoSpaceDE w:val="0"/>
        <w:autoSpaceDN w:val="0"/>
        <w:adjustRightInd w:val="0"/>
        <w:spacing w:after="0" w:line="240" w:lineRule="auto"/>
        <w:ind w:firstLine="5670"/>
        <w:jc w:val="both"/>
        <w:rPr>
          <w:rFonts w:ascii="Verdana" w:eastAsia="Times New Roman" w:hAnsi="Verdana" w:cs="Verdana"/>
          <w:sz w:val="20"/>
          <w:szCs w:val="20"/>
          <w:lang w:eastAsia="it-IT"/>
        </w:rPr>
      </w:pPr>
      <w:r w:rsidRPr="002E236C">
        <w:rPr>
          <w:rFonts w:ascii="Verdana" w:eastAsia="Times New Roman" w:hAnsi="Verdana" w:cs="Verdana"/>
          <w:color w:val="FF0000"/>
          <w:sz w:val="24"/>
          <w:szCs w:val="24"/>
          <w:lang w:eastAsia="it-IT"/>
        </w:rPr>
        <w:tab/>
      </w:r>
      <w:r w:rsidRPr="002E236C">
        <w:rPr>
          <w:rFonts w:ascii="Verdana" w:eastAsia="Times New Roman" w:hAnsi="Verdana" w:cs="Verdana"/>
          <w:color w:val="FF0000"/>
          <w:sz w:val="24"/>
          <w:szCs w:val="24"/>
          <w:lang w:eastAsia="it-IT"/>
        </w:rPr>
        <w:tab/>
      </w:r>
      <w:r w:rsidRPr="002E236C">
        <w:rPr>
          <w:rFonts w:ascii="Verdana" w:eastAsia="Times New Roman" w:hAnsi="Verdana" w:cs="Verdana"/>
          <w:color w:val="FF0000"/>
          <w:sz w:val="24"/>
          <w:szCs w:val="24"/>
          <w:lang w:eastAsia="it-IT"/>
        </w:rPr>
        <w:tab/>
      </w:r>
      <w:r w:rsidRPr="002E236C">
        <w:rPr>
          <w:rFonts w:ascii="Verdana" w:eastAsia="Times New Roman" w:hAnsi="Verdana" w:cs="Verdana"/>
          <w:color w:val="FF0000"/>
          <w:sz w:val="24"/>
          <w:szCs w:val="24"/>
          <w:lang w:eastAsia="it-IT"/>
        </w:rPr>
        <w:tab/>
      </w:r>
      <w:r w:rsidRPr="002E236C">
        <w:rPr>
          <w:rFonts w:ascii="Verdana" w:eastAsia="Times New Roman" w:hAnsi="Verdana" w:cs="Verdana"/>
          <w:color w:val="FF0000"/>
          <w:sz w:val="24"/>
          <w:szCs w:val="24"/>
          <w:lang w:eastAsia="it-IT"/>
        </w:rPr>
        <w:tab/>
      </w:r>
      <w:r w:rsidRPr="002E236C">
        <w:rPr>
          <w:rFonts w:ascii="Verdana" w:eastAsia="Times New Roman" w:hAnsi="Verdana" w:cs="Verdana"/>
          <w:color w:val="FF0000"/>
          <w:sz w:val="24"/>
          <w:szCs w:val="24"/>
          <w:lang w:eastAsia="it-IT"/>
        </w:rPr>
        <w:tab/>
      </w:r>
      <w:r w:rsidRPr="002E236C">
        <w:rPr>
          <w:rFonts w:ascii="Verdana" w:eastAsia="Times New Roman" w:hAnsi="Verdana" w:cs="Verdana"/>
          <w:color w:val="FF0000"/>
          <w:sz w:val="24"/>
          <w:szCs w:val="24"/>
          <w:lang w:eastAsia="it-IT"/>
        </w:rPr>
        <w:tab/>
      </w:r>
      <w:r w:rsidRPr="002E236C">
        <w:rPr>
          <w:rFonts w:ascii="Verdana" w:eastAsia="Times New Roman" w:hAnsi="Verdana" w:cs="Verdana"/>
          <w:color w:val="FF0000"/>
          <w:sz w:val="24"/>
          <w:szCs w:val="24"/>
          <w:lang w:eastAsia="it-IT"/>
        </w:rPr>
        <w:tab/>
      </w: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0"/>
          <w:szCs w:val="20"/>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703296" behindDoc="0" locked="1" layoutInCell="1" allowOverlap="1">
                <wp:simplePos x="0" y="0"/>
                <wp:positionH relativeFrom="column">
                  <wp:posOffset>131445</wp:posOffset>
                </wp:positionH>
                <wp:positionV relativeFrom="paragraph">
                  <wp:posOffset>-1692910</wp:posOffset>
                </wp:positionV>
                <wp:extent cx="1752600" cy="624840"/>
                <wp:effectExtent l="13335" t="7620" r="5715" b="5715"/>
                <wp:wrapNone/>
                <wp:docPr id="31" name="Casella di tes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24840"/>
                        </a:xfrm>
                        <a:prstGeom prst="rect">
                          <a:avLst/>
                        </a:prstGeom>
                        <a:solidFill>
                          <a:srgbClr val="FFFFFF"/>
                        </a:solidFill>
                        <a:ln w="9525">
                          <a:solidFill>
                            <a:srgbClr val="000000"/>
                          </a:solidFill>
                          <a:miter lim="800000"/>
                          <a:headEnd/>
                          <a:tailEnd/>
                        </a:ln>
                      </wps:spPr>
                      <wps:txbx>
                        <w:txbxContent>
                          <w:p w:rsidR="001406AD" w:rsidRDefault="001406AD" w:rsidP="002E236C">
                            <w:pPr>
                              <w:rPr>
                                <w:color w:val="FF0000"/>
                                <w:sz w:val="20"/>
                                <w:szCs w:val="20"/>
                              </w:rPr>
                            </w:pPr>
                          </w:p>
                          <w:p w:rsidR="001406AD" w:rsidRPr="00EF74BE" w:rsidRDefault="001406AD" w:rsidP="002E236C">
                            <w:pPr>
                              <w:rPr>
                                <w:color w:val="FF0000"/>
                                <w:sz w:val="20"/>
                                <w:szCs w:val="20"/>
                              </w:rPr>
                            </w:pPr>
                            <w:r w:rsidRPr="00EF74BE">
                              <w:rPr>
                                <w:color w:val="FF0000"/>
                                <w:sz w:val="20"/>
                                <w:szCs w:val="20"/>
                              </w:rPr>
                              <w:t>SERVIZIO</w:t>
                            </w:r>
                            <w:r w:rsidRPr="00BA2AF2">
                              <w:rPr>
                                <w:color w:val="FF0000"/>
                                <w:sz w:val="20"/>
                                <w:szCs w:val="20"/>
                              </w:rPr>
                              <w:t xml:space="preserve"> </w:t>
                            </w:r>
                            <w:r>
                              <w:rPr>
                                <w:color w:val="FF0000"/>
                                <w:sz w:val="20"/>
                                <w:szCs w:val="20"/>
                              </w:rPr>
                              <w:t>URBANISTICA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1" o:spid="_x0000_s1044" type="#_x0000_t202" style="position:absolute;left:0;text-align:left;margin-left:10.35pt;margin-top:-133.3pt;width:138pt;height:4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">
                <v:textbox>
                  <w:txbxContent>
                    <w:p w:rsidR="001406AD" w:rsidRDefault="001406AD" w:rsidP="002E236C">
                      <w:pPr>
                        <w:rPr>
                          <w:color w:val="FF0000"/>
                          <w:sz w:val="20"/>
                          <w:szCs w:val="20"/>
                        </w:rPr>
                      </w:pPr>
                    </w:p>
                    <w:p w:rsidR="001406AD" w:rsidRPr="00EF74BE" w:rsidRDefault="001406AD" w:rsidP="002E236C">
                      <w:pPr>
                        <w:rPr>
                          <w:color w:val="FF0000"/>
                          <w:sz w:val="20"/>
                          <w:szCs w:val="20"/>
                        </w:rPr>
                      </w:pPr>
                      <w:r w:rsidRPr="00EF74BE">
                        <w:rPr>
                          <w:color w:val="FF0000"/>
                          <w:sz w:val="20"/>
                          <w:szCs w:val="20"/>
                        </w:rPr>
                        <w:t>SERVIZIO</w:t>
                      </w:r>
                      <w:r w:rsidRPr="00BA2AF2">
                        <w:rPr>
                          <w:color w:val="FF0000"/>
                          <w:sz w:val="20"/>
                          <w:szCs w:val="20"/>
                        </w:rPr>
                        <w:t xml:space="preserve"> </w:t>
                      </w:r>
                      <w:r>
                        <w:rPr>
                          <w:color w:val="FF0000"/>
                          <w:sz w:val="20"/>
                          <w:szCs w:val="20"/>
                        </w:rPr>
                        <w:t>URBANISTICA</w:t>
                      </w:r>
                    </w:p>
                  </w:txbxContent>
                </v:textbox>
                <w10:anchorlock/>
              </v:shape>
            </w:pict>
          </mc:Fallback>
        </mc:AlternateContent>
      </w: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81792" behindDoc="0" locked="1" layoutInCell="1" allowOverlap="1">
                <wp:simplePos x="0" y="0"/>
                <wp:positionH relativeFrom="column">
                  <wp:posOffset>3429000</wp:posOffset>
                </wp:positionH>
                <wp:positionV relativeFrom="paragraph">
                  <wp:posOffset>138430</wp:posOffset>
                </wp:positionV>
                <wp:extent cx="0" cy="5080"/>
                <wp:effectExtent l="5715" t="10160" r="13335" b="13335"/>
                <wp:wrapNone/>
                <wp:docPr id="30" name="Connettore 1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F3578" id="Connettore 1 30"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0.9pt" to="270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">
                <w10:anchorlock/>
              </v:line>
            </w:pict>
          </mc:Fallback>
        </mc:AlternateContent>
      </w:r>
      <w:r w:rsidRPr="002E236C">
        <w:rPr>
          <w:rFonts w:ascii="Verdana" w:eastAsia="Times New Roman" w:hAnsi="Verdana" w:cs="Verdana"/>
          <w:color w:val="FF0000"/>
          <w:sz w:val="24"/>
          <w:szCs w:val="24"/>
          <w:lang w:eastAsia="it-IT"/>
        </w:rPr>
        <w:tab/>
      </w:r>
      <w:r w:rsidRPr="002E236C">
        <w:rPr>
          <w:rFonts w:ascii="Verdana" w:eastAsia="Times New Roman" w:hAnsi="Verdana" w:cs="Verdana"/>
          <w:color w:val="FF0000"/>
          <w:sz w:val="24"/>
          <w:szCs w:val="24"/>
          <w:lang w:eastAsia="it-IT"/>
        </w:rPr>
        <w:tab/>
      </w:r>
      <w:r w:rsidRPr="002E236C">
        <w:rPr>
          <w:rFonts w:ascii="Verdana" w:eastAsia="Times New Roman" w:hAnsi="Verdana" w:cs="Verdana"/>
          <w:color w:val="FF0000"/>
          <w:sz w:val="24"/>
          <w:szCs w:val="24"/>
          <w:lang w:eastAsia="it-IT"/>
        </w:rPr>
        <w:tab/>
      </w:r>
      <w:r w:rsidRPr="002E236C">
        <w:rPr>
          <w:rFonts w:ascii="Verdana" w:eastAsia="Times New Roman" w:hAnsi="Verdana" w:cs="Verdana"/>
          <w:color w:val="FF0000"/>
          <w:sz w:val="24"/>
          <w:szCs w:val="24"/>
          <w:lang w:eastAsia="it-IT"/>
        </w:rPr>
        <w:tab/>
      </w:r>
      <w:r w:rsidRPr="002E236C">
        <w:rPr>
          <w:rFonts w:ascii="Verdana" w:eastAsia="Times New Roman" w:hAnsi="Verdana" w:cs="Verdana"/>
          <w:color w:val="FF0000"/>
          <w:sz w:val="24"/>
          <w:szCs w:val="24"/>
          <w:lang w:eastAsia="it-IT"/>
        </w:rPr>
        <w:tab/>
      </w:r>
      <w:r w:rsidRPr="002E236C">
        <w:rPr>
          <w:rFonts w:ascii="Verdana" w:eastAsia="Times New Roman" w:hAnsi="Verdana" w:cs="Verdana"/>
          <w:color w:val="FF0000"/>
          <w:sz w:val="24"/>
          <w:szCs w:val="24"/>
          <w:lang w:eastAsia="it-IT"/>
        </w:rPr>
        <w:tab/>
      </w:r>
      <w:r w:rsidRPr="002E236C">
        <w:rPr>
          <w:rFonts w:ascii="Verdana" w:eastAsia="Times New Roman" w:hAnsi="Verdana" w:cs="Verdana"/>
          <w:b/>
          <w:bCs/>
          <w:sz w:val="24"/>
          <w:szCs w:val="24"/>
          <w:lang w:eastAsia="it-IT"/>
        </w:rPr>
        <w:tab/>
      </w:r>
      <w:r w:rsidRPr="002E236C">
        <w:rPr>
          <w:rFonts w:ascii="Verdana" w:eastAsia="Times New Roman" w:hAnsi="Verdana" w:cs="Verdana"/>
          <w:b/>
          <w:bCs/>
          <w:sz w:val="24"/>
          <w:szCs w:val="24"/>
          <w:lang w:eastAsia="it-IT"/>
        </w:rPr>
        <w:tab/>
      </w:r>
    </w:p>
    <w:p w:rsidR="002E236C" w:rsidRPr="002E236C" w:rsidRDefault="002E236C" w:rsidP="002E236C">
      <w:pPr>
        <w:autoSpaceDE w:val="0"/>
        <w:autoSpaceDN w:val="0"/>
        <w:adjustRightInd w:val="0"/>
        <w:spacing w:after="0" w:line="240" w:lineRule="auto"/>
        <w:jc w:val="both"/>
        <w:rPr>
          <w:rFonts w:ascii="Verdana" w:eastAsia="Times New Roman" w:hAnsi="Verdana" w:cs="Verdana"/>
          <w:b/>
          <w:bCs/>
          <w:sz w:val="20"/>
          <w:szCs w:val="20"/>
          <w:lang w:eastAsia="it-IT"/>
        </w:rPr>
      </w:pPr>
      <w:r w:rsidRPr="002E236C">
        <w:rPr>
          <w:rFonts w:ascii="Verdana" w:eastAsia="Times New Roman" w:hAnsi="Verdana" w:cs="Verdana"/>
          <w:color w:val="FF0000"/>
          <w:sz w:val="24"/>
          <w:szCs w:val="24"/>
          <w:lang w:eastAsia="it-IT"/>
        </w:rPr>
        <w:tab/>
      </w:r>
      <w:r w:rsidRPr="002E236C">
        <w:rPr>
          <w:rFonts w:ascii="Verdana" w:eastAsia="Times New Roman" w:hAnsi="Verdana" w:cs="Verdana"/>
          <w:color w:val="FF0000"/>
          <w:sz w:val="24"/>
          <w:szCs w:val="24"/>
          <w:lang w:eastAsia="it-IT"/>
        </w:rPr>
        <w:tab/>
      </w:r>
      <w:r w:rsidRPr="002E236C">
        <w:rPr>
          <w:rFonts w:ascii="Verdana" w:eastAsia="Times New Roman" w:hAnsi="Verdana" w:cs="Verdana"/>
          <w:color w:val="FF0000"/>
          <w:sz w:val="24"/>
          <w:szCs w:val="24"/>
          <w:lang w:eastAsia="it-IT"/>
        </w:rPr>
        <w:tab/>
      </w:r>
      <w:r w:rsidRPr="002E236C">
        <w:rPr>
          <w:rFonts w:ascii="Verdana" w:eastAsia="Times New Roman" w:hAnsi="Verdana" w:cs="Verdana"/>
          <w:color w:val="FF0000"/>
          <w:sz w:val="24"/>
          <w:szCs w:val="24"/>
          <w:lang w:eastAsia="it-IT"/>
        </w:rPr>
        <w:tab/>
      </w:r>
      <w:r w:rsidRPr="002E236C">
        <w:rPr>
          <w:rFonts w:ascii="Verdana" w:eastAsia="Times New Roman" w:hAnsi="Verdana" w:cs="Verdana"/>
          <w:color w:val="FF0000"/>
          <w:sz w:val="24"/>
          <w:szCs w:val="24"/>
          <w:lang w:eastAsia="it-IT"/>
        </w:rPr>
        <w:tab/>
      </w:r>
      <w:r w:rsidRPr="002E236C">
        <w:rPr>
          <w:rFonts w:ascii="Verdana" w:eastAsia="Times New Roman" w:hAnsi="Verdana" w:cs="Verdana"/>
          <w:color w:val="FF0000"/>
          <w:sz w:val="24"/>
          <w:szCs w:val="24"/>
          <w:lang w:eastAsia="it-IT"/>
        </w:rPr>
        <w:tab/>
      </w:r>
      <w:r w:rsidRPr="002E236C">
        <w:rPr>
          <w:rFonts w:ascii="Verdana" w:eastAsia="Times New Roman" w:hAnsi="Verdana" w:cs="Verdana"/>
          <w:color w:val="FF0000"/>
          <w:sz w:val="24"/>
          <w:szCs w:val="24"/>
          <w:lang w:eastAsia="it-IT"/>
        </w:rPr>
        <w:tab/>
      </w:r>
      <w:r w:rsidRPr="002E236C">
        <w:rPr>
          <w:rFonts w:ascii="Verdana" w:eastAsia="Times New Roman" w:hAnsi="Verdana" w:cs="Verdana"/>
          <w:color w:val="FF0000"/>
          <w:sz w:val="24"/>
          <w:szCs w:val="24"/>
          <w:lang w:eastAsia="it-IT"/>
        </w:rPr>
        <w:tab/>
      </w: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0"/>
          <w:szCs w:val="20"/>
          <w:lang w:eastAsia="it-IT"/>
        </w:rPr>
      </w:pPr>
      <w:r w:rsidRPr="002E236C">
        <w:rPr>
          <w:rFonts w:ascii="Verdana" w:eastAsia="Times New Roman" w:hAnsi="Verdana" w:cs="Verdana"/>
          <w:b/>
          <w:bCs/>
          <w:sz w:val="24"/>
          <w:szCs w:val="24"/>
          <w:lang w:eastAsia="it-IT"/>
        </w:rPr>
        <w:tab/>
      </w:r>
      <w:r w:rsidRPr="002E236C">
        <w:rPr>
          <w:rFonts w:ascii="Verdana" w:eastAsia="Times New Roman" w:hAnsi="Verdana" w:cs="Verdana"/>
          <w:b/>
          <w:bCs/>
          <w:sz w:val="24"/>
          <w:szCs w:val="24"/>
          <w:lang w:eastAsia="it-IT"/>
        </w:rPr>
        <w:tab/>
      </w:r>
      <w:r w:rsidRPr="002E236C">
        <w:rPr>
          <w:rFonts w:ascii="Verdana" w:eastAsia="Times New Roman" w:hAnsi="Verdana" w:cs="Verdana"/>
          <w:b/>
          <w:bCs/>
          <w:sz w:val="24"/>
          <w:szCs w:val="24"/>
          <w:lang w:eastAsia="it-IT"/>
        </w:rPr>
        <w:tab/>
      </w:r>
      <w:r w:rsidRPr="002E236C">
        <w:rPr>
          <w:rFonts w:ascii="Verdana" w:eastAsia="Times New Roman" w:hAnsi="Verdana" w:cs="Verdana"/>
          <w:b/>
          <w:bCs/>
          <w:sz w:val="24"/>
          <w:szCs w:val="24"/>
          <w:lang w:eastAsia="it-IT"/>
        </w:rPr>
        <w:tab/>
      </w:r>
      <w:r w:rsidRPr="002E236C">
        <w:rPr>
          <w:rFonts w:ascii="Verdana" w:eastAsia="Times New Roman" w:hAnsi="Verdana" w:cs="Verdana"/>
          <w:b/>
          <w:bCs/>
          <w:sz w:val="24"/>
          <w:szCs w:val="24"/>
          <w:lang w:eastAsia="it-IT"/>
        </w:rPr>
        <w:tab/>
      </w:r>
      <w:r w:rsidRPr="002E236C">
        <w:rPr>
          <w:rFonts w:ascii="Verdana" w:eastAsia="Times New Roman" w:hAnsi="Verdana" w:cs="Verdana"/>
          <w:b/>
          <w:bCs/>
          <w:sz w:val="24"/>
          <w:szCs w:val="24"/>
          <w:lang w:eastAsia="it-IT"/>
        </w:rPr>
        <w:tab/>
      </w:r>
      <w:r w:rsidRPr="002E236C">
        <w:rPr>
          <w:rFonts w:ascii="Verdana" w:eastAsia="Times New Roman" w:hAnsi="Verdana" w:cs="Verdana"/>
          <w:b/>
          <w:bCs/>
          <w:sz w:val="24"/>
          <w:szCs w:val="24"/>
          <w:lang w:eastAsia="it-IT"/>
        </w:rPr>
        <w:tab/>
      </w:r>
      <w:r w:rsidRPr="002E236C">
        <w:rPr>
          <w:rFonts w:ascii="Verdana" w:eastAsia="Times New Roman" w:hAnsi="Verdana" w:cs="Verdana"/>
          <w:b/>
          <w:bCs/>
          <w:sz w:val="24"/>
          <w:szCs w:val="24"/>
          <w:lang w:eastAsia="it-IT"/>
        </w:rPr>
        <w:tab/>
      </w:r>
    </w:p>
    <w:p w:rsidR="002E236C" w:rsidRPr="002E236C" w:rsidRDefault="002E236C" w:rsidP="002E236C">
      <w:pPr>
        <w:autoSpaceDE w:val="0"/>
        <w:autoSpaceDN w:val="0"/>
        <w:adjustRightInd w:val="0"/>
        <w:spacing w:after="0" w:line="240" w:lineRule="auto"/>
        <w:jc w:val="both"/>
        <w:rPr>
          <w:rFonts w:ascii="Verdana" w:eastAsia="Times New Roman" w:hAnsi="Verdana" w:cs="Verdana"/>
          <w:b/>
          <w:bCs/>
          <w:sz w:val="20"/>
          <w:szCs w:val="20"/>
          <w:lang w:eastAsia="it-IT"/>
        </w:rPr>
      </w:pPr>
    </w:p>
    <w:p w:rsidR="002E236C" w:rsidRPr="002E236C" w:rsidRDefault="002E236C" w:rsidP="002E236C">
      <w:pPr>
        <w:autoSpaceDE w:val="0"/>
        <w:autoSpaceDN w:val="0"/>
        <w:adjustRightInd w:val="0"/>
        <w:spacing w:after="0" w:line="240" w:lineRule="auto"/>
        <w:rPr>
          <w:rFonts w:ascii="Verdana" w:eastAsia="Times New Roman" w:hAnsi="Verdana" w:cs="Verdana"/>
          <w:b/>
          <w:bCs/>
          <w:sz w:val="20"/>
          <w:szCs w:val="20"/>
          <w:lang w:eastAsia="it-IT"/>
        </w:rPr>
      </w:pPr>
    </w:p>
    <w:p w:rsidR="002E236C" w:rsidRPr="002E236C" w:rsidRDefault="002E236C" w:rsidP="002E236C">
      <w:pPr>
        <w:autoSpaceDE w:val="0"/>
        <w:autoSpaceDN w:val="0"/>
        <w:adjustRightInd w:val="0"/>
        <w:spacing w:after="0" w:line="240" w:lineRule="auto"/>
        <w:rPr>
          <w:rFonts w:ascii="Verdana" w:eastAsia="Times New Roman" w:hAnsi="Verdana" w:cs="Verdana"/>
          <w:b/>
          <w:bCs/>
          <w:sz w:val="20"/>
          <w:szCs w:val="20"/>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000000"/>
          <w:sz w:val="24"/>
          <w:szCs w:val="24"/>
          <w:lang w:eastAsia="it-IT"/>
        </w:rPr>
      </w:pPr>
      <w:r w:rsidRPr="002E236C">
        <w:rPr>
          <w:rFonts w:ascii="Verdana" w:eastAsia="Times New Roman" w:hAnsi="Verdana" w:cs="Verdana"/>
          <w:sz w:val="24"/>
          <w:szCs w:val="24"/>
          <w:lang w:eastAsia="it-IT"/>
        </w:rPr>
        <w:t xml:space="preserve">Bertone Massimo – </w:t>
      </w:r>
      <w:r w:rsidRPr="002E236C">
        <w:rPr>
          <w:rFonts w:ascii="Verdana" w:eastAsia="Times New Roman" w:hAnsi="Verdana" w:cs="Verdana"/>
          <w:color w:val="000000"/>
          <w:sz w:val="24"/>
          <w:szCs w:val="24"/>
          <w:lang w:eastAsia="it-IT"/>
        </w:rPr>
        <w:t>Responsabile Area</w:t>
      </w: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4"/>
          <w:szCs w:val="24"/>
          <w:lang w:eastAsia="it-IT"/>
        </w:rPr>
      </w:pPr>
      <w:r w:rsidRPr="002E236C">
        <w:rPr>
          <w:rFonts w:ascii="Verdana" w:eastAsia="Times New Roman" w:hAnsi="Verdana" w:cs="Verdana"/>
          <w:sz w:val="24"/>
          <w:szCs w:val="24"/>
          <w:lang w:eastAsia="it-IT"/>
        </w:rPr>
        <w:t>Neri Claudia</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*Casini Katiuscia (in collaborazione con Area Ambiente/Edilizia)</w:t>
      </w: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0"/>
          <w:szCs w:val="20"/>
          <w:lang w:eastAsia="it-IT"/>
        </w:rPr>
      </w:pPr>
      <w:r w:rsidRPr="002E236C">
        <w:rPr>
          <w:rFonts w:ascii="Arial" w:eastAsia="Times New Roman" w:hAnsi="Arial" w:cs="Arial"/>
          <w:sz w:val="24"/>
          <w:szCs w:val="24"/>
          <w:lang w:eastAsia="it-IT"/>
        </w:rPr>
        <w:t xml:space="preserve">* </w:t>
      </w:r>
      <w:proofErr w:type="spellStart"/>
      <w:r w:rsidRPr="002E236C">
        <w:rPr>
          <w:rFonts w:ascii="Arial" w:eastAsia="Times New Roman" w:hAnsi="Arial" w:cs="Arial"/>
          <w:sz w:val="24"/>
          <w:szCs w:val="24"/>
          <w:lang w:eastAsia="it-IT"/>
        </w:rPr>
        <w:t>Morgantini</w:t>
      </w:r>
      <w:proofErr w:type="spellEnd"/>
      <w:r w:rsidRPr="002E236C">
        <w:rPr>
          <w:rFonts w:ascii="Arial" w:eastAsia="Times New Roman" w:hAnsi="Arial" w:cs="Arial"/>
          <w:sz w:val="24"/>
          <w:szCs w:val="24"/>
          <w:lang w:eastAsia="it-IT"/>
        </w:rPr>
        <w:t xml:space="preserve"> </w:t>
      </w:r>
      <w:proofErr w:type="gramStart"/>
      <w:r w:rsidRPr="002E236C">
        <w:rPr>
          <w:rFonts w:ascii="Arial" w:eastAsia="Times New Roman" w:hAnsi="Arial" w:cs="Arial"/>
          <w:sz w:val="24"/>
          <w:szCs w:val="24"/>
          <w:lang w:eastAsia="it-IT"/>
        </w:rPr>
        <w:t>Michele  (</w:t>
      </w:r>
      <w:proofErr w:type="gramEnd"/>
      <w:r w:rsidRPr="002E236C">
        <w:rPr>
          <w:rFonts w:ascii="Arial" w:eastAsia="Times New Roman" w:hAnsi="Arial" w:cs="Arial"/>
          <w:sz w:val="24"/>
          <w:szCs w:val="24"/>
          <w:lang w:eastAsia="it-IT"/>
        </w:rPr>
        <w:t>in collaborazione con Area Ambiente/Edilizia)</w:t>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4"/>
          <w:szCs w:val="24"/>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4"/>
          <w:szCs w:val="24"/>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0"/>
          <w:szCs w:val="20"/>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0"/>
          <w:szCs w:val="20"/>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0"/>
          <w:szCs w:val="20"/>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0"/>
          <w:szCs w:val="20"/>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0"/>
          <w:szCs w:val="20"/>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710464" behindDoc="0" locked="1" layoutInCell="1" allowOverlap="1">
                <wp:simplePos x="0" y="0"/>
                <wp:positionH relativeFrom="column">
                  <wp:posOffset>2188845</wp:posOffset>
                </wp:positionH>
                <wp:positionV relativeFrom="paragraph">
                  <wp:posOffset>-534670</wp:posOffset>
                </wp:positionV>
                <wp:extent cx="2514600" cy="887730"/>
                <wp:effectExtent l="13335" t="12065" r="5715" b="5080"/>
                <wp:wrapNone/>
                <wp:docPr id="29" name="Casella di tes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87730"/>
                        </a:xfrm>
                        <a:prstGeom prst="rect">
                          <a:avLst/>
                        </a:prstGeom>
                        <a:solidFill>
                          <a:srgbClr val="FFFFFF"/>
                        </a:solidFill>
                        <a:ln w="9525">
                          <a:solidFill>
                            <a:srgbClr val="000000"/>
                          </a:solidFill>
                          <a:miter lim="800000"/>
                          <a:headEnd/>
                          <a:tailEnd/>
                        </a:ln>
                      </wps:spPr>
                      <wps:txbx>
                        <w:txbxContent>
                          <w:p w:rsidR="001406AD" w:rsidRDefault="001406AD" w:rsidP="002E236C">
                            <w:pPr>
                              <w:jc w:val="center"/>
                              <w:rPr>
                                <w:color w:val="FF0000"/>
                              </w:rPr>
                            </w:pPr>
                            <w:r w:rsidRPr="002243B6">
                              <w:rPr>
                                <w:color w:val="FF0000"/>
                              </w:rPr>
                              <w:t>AREA</w:t>
                            </w:r>
                          </w:p>
                          <w:p w:rsidR="001406AD" w:rsidRDefault="001406AD" w:rsidP="002E236C">
                            <w:pPr>
                              <w:jc w:val="center"/>
                              <w:rPr>
                                <w:color w:val="FF0000"/>
                              </w:rPr>
                            </w:pPr>
                            <w:r>
                              <w:rPr>
                                <w:color w:val="FF0000"/>
                              </w:rPr>
                              <w:t>MANUTENZIONI</w:t>
                            </w:r>
                          </w:p>
                          <w:p w:rsidR="001406AD" w:rsidRDefault="001406AD" w:rsidP="002E236C">
                            <w:pPr>
                              <w:jc w:val="center"/>
                              <w:rPr>
                                <w:color w:val="FF0000"/>
                              </w:rPr>
                            </w:pPr>
                            <w:r>
                              <w:rPr>
                                <w:color w:val="FF0000"/>
                              </w:rPr>
                              <w:t>PATRIMONIO</w:t>
                            </w:r>
                          </w:p>
                          <w:p w:rsidR="001406AD" w:rsidRPr="002243B6" w:rsidRDefault="001406AD" w:rsidP="002E236C">
                            <w:pPr>
                              <w:jc w:val="center"/>
                              <w:rPr>
                                <w:color w:val="FF0000"/>
                              </w:rPr>
                            </w:pPr>
                            <w:r>
                              <w:rPr>
                                <w:color w:val="FF0000"/>
                              </w:rPr>
                              <w:t>LLPP</w:t>
                            </w:r>
                          </w:p>
                          <w:p w:rsidR="001406AD" w:rsidRPr="004B5DF9" w:rsidRDefault="001406AD" w:rsidP="002E236C">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9" o:spid="_x0000_s1045" type="#_x0000_t202" style="position:absolute;left:0;text-align:left;margin-left:172.35pt;margin-top:-42.1pt;width:198pt;height:69.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">
                <v:textbox>
                  <w:txbxContent>
                    <w:p w:rsidR="001406AD" w:rsidRDefault="001406AD" w:rsidP="002E236C">
                      <w:pPr>
                        <w:jc w:val="center"/>
                        <w:rPr>
                          <w:color w:val="FF0000"/>
                        </w:rPr>
                      </w:pPr>
                      <w:r w:rsidRPr="002243B6">
                        <w:rPr>
                          <w:color w:val="FF0000"/>
                        </w:rPr>
                        <w:t>AREA</w:t>
                      </w:r>
                    </w:p>
                    <w:p w:rsidR="001406AD" w:rsidRDefault="001406AD" w:rsidP="002E236C">
                      <w:pPr>
                        <w:jc w:val="center"/>
                        <w:rPr>
                          <w:color w:val="FF0000"/>
                        </w:rPr>
                      </w:pPr>
                      <w:r>
                        <w:rPr>
                          <w:color w:val="FF0000"/>
                        </w:rPr>
                        <w:t>MANUTENZIONI</w:t>
                      </w:r>
                    </w:p>
                    <w:p w:rsidR="001406AD" w:rsidRDefault="001406AD" w:rsidP="002E236C">
                      <w:pPr>
                        <w:jc w:val="center"/>
                        <w:rPr>
                          <w:color w:val="FF0000"/>
                        </w:rPr>
                      </w:pPr>
                      <w:r>
                        <w:rPr>
                          <w:color w:val="FF0000"/>
                        </w:rPr>
                        <w:t>PATRIMONIO</w:t>
                      </w:r>
                    </w:p>
                    <w:p w:rsidR="001406AD" w:rsidRPr="002243B6" w:rsidRDefault="001406AD" w:rsidP="002E236C">
                      <w:pPr>
                        <w:jc w:val="center"/>
                        <w:rPr>
                          <w:color w:val="FF0000"/>
                        </w:rPr>
                      </w:pPr>
                      <w:r>
                        <w:rPr>
                          <w:color w:val="FF0000"/>
                        </w:rPr>
                        <w:t>LLPP</w:t>
                      </w:r>
                    </w:p>
                    <w:p w:rsidR="001406AD" w:rsidRPr="004B5DF9" w:rsidRDefault="001406AD" w:rsidP="002E236C">
                      <w:pPr>
                        <w:jc w:val="center"/>
                        <w:rPr>
                          <w:color w:val="FF0000"/>
                        </w:rPr>
                      </w:pPr>
                    </w:p>
                  </w:txbxContent>
                </v:textbox>
                <w10:anchorlock/>
              </v:shape>
            </w:pict>
          </mc:Fallback>
        </mc:AlternateContent>
      </w:r>
    </w:p>
    <w:p w:rsidR="002E236C" w:rsidRPr="002E236C" w:rsidRDefault="002E236C" w:rsidP="002E236C">
      <w:pPr>
        <w:autoSpaceDE w:val="0"/>
        <w:autoSpaceDN w:val="0"/>
        <w:adjustRightInd w:val="0"/>
        <w:spacing w:after="0" w:line="240" w:lineRule="auto"/>
        <w:jc w:val="both"/>
        <w:rPr>
          <w:rFonts w:ascii="Verdana" w:eastAsia="Times New Roman" w:hAnsi="Verdana" w:cs="Verdana"/>
          <w:b/>
          <w:bCs/>
          <w:color w:val="FF0000"/>
          <w:sz w:val="20"/>
          <w:szCs w:val="20"/>
          <w:lang w:eastAsia="it-IT"/>
        </w:rPr>
      </w:pP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0"/>
          <w:szCs w:val="20"/>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0"/>
          <w:szCs w:val="20"/>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0"/>
          <w:szCs w:val="20"/>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706368" behindDoc="0" locked="1" layoutInCell="1" allowOverlap="1">
                <wp:simplePos x="0" y="0"/>
                <wp:positionH relativeFrom="column">
                  <wp:posOffset>2286000</wp:posOffset>
                </wp:positionH>
                <wp:positionV relativeFrom="paragraph">
                  <wp:posOffset>1326515</wp:posOffset>
                </wp:positionV>
                <wp:extent cx="990600" cy="0"/>
                <wp:effectExtent l="5715" t="61595" r="22860" b="52705"/>
                <wp:wrapNone/>
                <wp:docPr id="28" name="Connettore 1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94141" id="Connettore 1 2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4.45pt" to="258pt,1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">
                <v:stroke endarrow="block"/>
                <w10:anchorlock/>
              </v:line>
            </w:pict>
          </mc:Fallback>
        </mc:AlternateContent>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Arial" w:eastAsia="Times New Roman" w:hAnsi="Arial" w:cs="Arial"/>
          <w:sz w:val="24"/>
          <w:szCs w:val="24"/>
          <w:lang w:eastAsia="it-IT"/>
        </w:rPr>
        <w:t>Programma Opere Pubbliche</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717632" behindDoc="0" locked="1" layoutInCell="1" allowOverlap="1">
                <wp:simplePos x="0" y="0"/>
                <wp:positionH relativeFrom="column">
                  <wp:posOffset>3314700</wp:posOffset>
                </wp:positionH>
                <wp:positionV relativeFrom="paragraph">
                  <wp:posOffset>-230505</wp:posOffset>
                </wp:positionV>
                <wp:extent cx="0" cy="690245"/>
                <wp:effectExtent l="5715" t="5715" r="13335" b="8890"/>
                <wp:wrapNone/>
                <wp:docPr id="27" name="Connettore 1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51D9C" id="Connettore 1 2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15pt" to="261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">
                <w10:anchorlock/>
              </v:line>
            </w:pict>
          </mc:Fallback>
        </mc:AlternateContent>
      </w: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716608" behindDoc="0" locked="1" layoutInCell="1" allowOverlap="1">
                <wp:simplePos x="0" y="0"/>
                <wp:positionH relativeFrom="column">
                  <wp:posOffset>2286000</wp:posOffset>
                </wp:positionH>
                <wp:positionV relativeFrom="paragraph">
                  <wp:posOffset>112395</wp:posOffset>
                </wp:positionV>
                <wp:extent cx="990600" cy="0"/>
                <wp:effectExtent l="5715" t="53340" r="22860" b="60960"/>
                <wp:wrapNone/>
                <wp:docPr id="26" name="Connettore 1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AA709" id="Connettore 1 2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85pt" to="25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">
                <v:stroke endarrow="block"/>
                <w10:anchorlock/>
              </v:line>
            </w:pict>
          </mc:Fallback>
        </mc:AlternateContent>
      </w: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715584" behindDoc="0" locked="1" layoutInCell="1" allowOverlap="1">
                <wp:simplePos x="0" y="0"/>
                <wp:positionH relativeFrom="column">
                  <wp:posOffset>0</wp:posOffset>
                </wp:positionH>
                <wp:positionV relativeFrom="paragraph">
                  <wp:posOffset>-199390</wp:posOffset>
                </wp:positionV>
                <wp:extent cx="2057400" cy="457200"/>
                <wp:effectExtent l="5715" t="8255" r="13335" b="10795"/>
                <wp:wrapNone/>
                <wp:docPr id="25" name="Casella di tes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1406AD" w:rsidRPr="00AA76A9" w:rsidRDefault="001406AD" w:rsidP="002E236C">
                            <w:pPr>
                              <w:jc w:val="center"/>
                              <w:rPr>
                                <w:color w:val="FF0000"/>
                              </w:rPr>
                            </w:pPr>
                            <w:r w:rsidRPr="00AA76A9">
                              <w:rPr>
                                <w:color w:val="FF0000"/>
                              </w:rPr>
                              <w:t>LL. 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5" o:spid="_x0000_s1046" type="#_x0000_t202" style="position:absolute;left:0;text-align:left;margin-left:0;margin-top:-15.7pt;width:162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">
                <v:textbox>
                  <w:txbxContent>
                    <w:p w:rsidR="001406AD" w:rsidRPr="00AA76A9" w:rsidRDefault="001406AD" w:rsidP="002E236C">
                      <w:pPr>
                        <w:jc w:val="center"/>
                        <w:rPr>
                          <w:color w:val="FF0000"/>
                        </w:rPr>
                      </w:pPr>
                      <w:r w:rsidRPr="00AA76A9">
                        <w:rPr>
                          <w:color w:val="FF0000"/>
                        </w:rPr>
                        <w:t>LL. PP.</w:t>
                      </w:r>
                    </w:p>
                  </w:txbxContent>
                </v:textbox>
                <w10:anchorlock/>
              </v:shape>
            </w:pict>
          </mc:Fallback>
        </mc:AlternateContent>
      </w: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707392" behindDoc="0" locked="1" layoutInCell="1" allowOverlap="1">
                <wp:simplePos x="0" y="0"/>
                <wp:positionH relativeFrom="column">
                  <wp:posOffset>3314700</wp:posOffset>
                </wp:positionH>
                <wp:positionV relativeFrom="paragraph">
                  <wp:posOffset>683895</wp:posOffset>
                </wp:positionV>
                <wp:extent cx="0" cy="914400"/>
                <wp:effectExtent l="5715" t="5715" r="13335" b="13335"/>
                <wp:wrapNone/>
                <wp:docPr id="24" name="Connettore 1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D71F7" id="Connettore 1 2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3.85pt" to="261pt,1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">
                <w10:anchorlock/>
              </v:line>
            </w:pict>
          </mc:Fallback>
        </mc:AlternateContent>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Arial" w:eastAsia="Times New Roman" w:hAnsi="Arial" w:cs="Arial"/>
          <w:sz w:val="24"/>
          <w:szCs w:val="24"/>
          <w:lang w:eastAsia="it-IT"/>
        </w:rPr>
        <w:t>Progettazione</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Arial" w:eastAsia="Times New Roman" w:hAnsi="Arial" w:cs="Arial"/>
          <w:sz w:val="24"/>
          <w:szCs w:val="24"/>
          <w:lang w:eastAsia="it-IT"/>
        </w:rPr>
        <w:t>Contabilità Lavori</w:t>
      </w: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0"/>
          <w:szCs w:val="20"/>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0"/>
          <w:szCs w:val="20"/>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0"/>
          <w:szCs w:val="20"/>
          <w:lang w:eastAsia="it-IT"/>
        </w:rPr>
      </w:pP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Verdana" w:eastAsia="Times New Roman" w:hAnsi="Verdana" w:cs="Verdana"/>
          <w:b/>
          <w:bCs/>
          <w:sz w:val="20"/>
          <w:szCs w:val="20"/>
          <w:lang w:eastAsia="it-IT"/>
        </w:rPr>
        <w:tab/>
      </w:r>
      <w:r w:rsidRPr="002E236C">
        <w:rPr>
          <w:rFonts w:ascii="Verdana" w:eastAsia="Times New Roman" w:hAnsi="Verdana" w:cs="Verdana"/>
          <w:b/>
          <w:bCs/>
          <w:sz w:val="20"/>
          <w:szCs w:val="20"/>
          <w:lang w:eastAsia="it-IT"/>
        </w:rPr>
        <w:tab/>
      </w:r>
      <w:r w:rsidRPr="002E236C">
        <w:rPr>
          <w:rFonts w:ascii="Verdana" w:eastAsia="Times New Roman" w:hAnsi="Verdana" w:cs="Verdana"/>
          <w:b/>
          <w:bCs/>
          <w:sz w:val="20"/>
          <w:szCs w:val="20"/>
          <w:lang w:eastAsia="it-IT"/>
        </w:rPr>
        <w:tab/>
      </w:r>
      <w:r w:rsidRPr="002E236C">
        <w:rPr>
          <w:rFonts w:ascii="Verdana" w:eastAsia="Times New Roman" w:hAnsi="Verdana" w:cs="Verdana"/>
          <w:b/>
          <w:bCs/>
          <w:sz w:val="20"/>
          <w:szCs w:val="20"/>
          <w:lang w:eastAsia="it-IT"/>
        </w:rPr>
        <w:tab/>
      </w:r>
      <w:r w:rsidRPr="002E236C">
        <w:rPr>
          <w:rFonts w:ascii="Verdana" w:eastAsia="Times New Roman" w:hAnsi="Verdana" w:cs="Verdana"/>
          <w:b/>
          <w:bCs/>
          <w:sz w:val="20"/>
          <w:szCs w:val="20"/>
          <w:lang w:eastAsia="it-IT"/>
        </w:rPr>
        <w:tab/>
      </w:r>
      <w:r w:rsidRPr="002E236C">
        <w:rPr>
          <w:rFonts w:ascii="Verdana" w:eastAsia="Times New Roman" w:hAnsi="Verdana" w:cs="Verdana"/>
          <w:b/>
          <w:bCs/>
          <w:sz w:val="20"/>
          <w:szCs w:val="20"/>
          <w:lang w:eastAsia="it-IT"/>
        </w:rPr>
        <w:tab/>
      </w:r>
      <w:r w:rsidRPr="002E236C">
        <w:rPr>
          <w:rFonts w:ascii="Verdana" w:eastAsia="Times New Roman" w:hAnsi="Verdana" w:cs="Verdana"/>
          <w:b/>
          <w:bCs/>
          <w:sz w:val="20"/>
          <w:szCs w:val="20"/>
          <w:lang w:eastAsia="it-IT"/>
        </w:rPr>
        <w:tab/>
      </w:r>
      <w:r w:rsidRPr="002E236C">
        <w:rPr>
          <w:rFonts w:ascii="Verdana" w:eastAsia="Times New Roman" w:hAnsi="Verdana" w:cs="Verdana"/>
          <w:b/>
          <w:bCs/>
          <w:sz w:val="20"/>
          <w:szCs w:val="20"/>
          <w:lang w:eastAsia="it-IT"/>
        </w:rPr>
        <w:tab/>
      </w: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705344" behindDoc="0" locked="1" layoutInCell="1" allowOverlap="1">
                <wp:simplePos x="0" y="0"/>
                <wp:positionH relativeFrom="column">
                  <wp:posOffset>-20955</wp:posOffset>
                </wp:positionH>
                <wp:positionV relativeFrom="paragraph">
                  <wp:posOffset>-20955</wp:posOffset>
                </wp:positionV>
                <wp:extent cx="2057400" cy="457200"/>
                <wp:effectExtent l="13335" t="5080" r="5715" b="13970"/>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1406AD" w:rsidRDefault="001406AD" w:rsidP="002E236C">
                            <w:r>
                              <w:rPr>
                                <w:color w:val="FF0000"/>
                                <w:sz w:val="20"/>
                                <w:szCs w:val="20"/>
                              </w:rPr>
                              <w:t>SERVIZIO PATRIMONIO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3" o:spid="_x0000_s1047" type="#_x0000_t202" style="position:absolute;left:0;text-align:left;margin-left:-1.65pt;margin-top:-1.65pt;width:162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">
                <v:textbox>
                  <w:txbxContent>
                    <w:p w:rsidR="001406AD" w:rsidRDefault="001406AD" w:rsidP="002E236C">
                      <w:r>
                        <w:rPr>
                          <w:color w:val="FF0000"/>
                          <w:sz w:val="20"/>
                          <w:szCs w:val="20"/>
                        </w:rPr>
                        <w:t>SERVIZIO PATRIMONIO</w:t>
                      </w:r>
                    </w:p>
                  </w:txbxContent>
                </v:textbox>
                <w10:anchorlock/>
              </v:shape>
            </w:pict>
          </mc:Fallback>
        </mc:AlternateContent>
      </w:r>
      <w:r w:rsidRPr="002E236C">
        <w:rPr>
          <w:rFonts w:ascii="Arial" w:eastAsia="Times New Roman" w:hAnsi="Arial" w:cs="Arial"/>
          <w:sz w:val="24"/>
          <w:szCs w:val="24"/>
          <w:lang w:eastAsia="it-IT"/>
        </w:rPr>
        <w:t>Parchi e Giardini</w:t>
      </w:r>
    </w:p>
    <w:p w:rsidR="002E236C" w:rsidRPr="002E236C" w:rsidRDefault="002E236C" w:rsidP="002E236C">
      <w:pPr>
        <w:autoSpaceDE w:val="0"/>
        <w:autoSpaceDN w:val="0"/>
        <w:adjustRightInd w:val="0"/>
        <w:spacing w:after="0" w:line="240" w:lineRule="auto"/>
        <w:ind w:firstLine="5529"/>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 xml:space="preserve">  Patrimonio Beni immobili</w:t>
      </w:r>
    </w:p>
    <w:p w:rsidR="002E236C" w:rsidRPr="002E236C" w:rsidRDefault="002E236C" w:rsidP="002E236C">
      <w:pPr>
        <w:autoSpaceDE w:val="0"/>
        <w:autoSpaceDN w:val="0"/>
        <w:adjustRightInd w:val="0"/>
        <w:spacing w:after="0" w:line="240" w:lineRule="auto"/>
        <w:ind w:firstLine="5529"/>
        <w:jc w:val="both"/>
        <w:rPr>
          <w:rFonts w:ascii="Arial" w:eastAsia="Times New Roman" w:hAnsi="Arial" w:cs="Arial"/>
          <w:b/>
          <w:bCs/>
          <w:sz w:val="24"/>
          <w:szCs w:val="24"/>
          <w:lang w:eastAsia="it-IT"/>
        </w:rPr>
      </w:pPr>
      <w:r w:rsidRPr="002E236C">
        <w:rPr>
          <w:rFonts w:ascii="Arial" w:eastAsia="Times New Roman" w:hAnsi="Arial" w:cs="Arial"/>
          <w:sz w:val="24"/>
          <w:szCs w:val="24"/>
          <w:lang w:eastAsia="it-IT"/>
        </w:rPr>
        <w:t xml:space="preserve">  Viabilità</w:t>
      </w:r>
      <w:r w:rsidRPr="002E236C">
        <w:rPr>
          <w:rFonts w:ascii="Arial" w:eastAsia="Times New Roman" w:hAnsi="Arial" w:cs="Arial"/>
          <w:b/>
          <w:bCs/>
          <w:sz w:val="24"/>
          <w:szCs w:val="24"/>
          <w:lang w:eastAsia="it-IT"/>
        </w:rPr>
        <w:tab/>
      </w:r>
      <w:r w:rsidRPr="002E236C">
        <w:rPr>
          <w:rFonts w:ascii="Arial" w:eastAsia="Times New Roman" w:hAnsi="Arial" w:cs="Arial"/>
          <w:b/>
          <w:bCs/>
          <w:sz w:val="24"/>
          <w:szCs w:val="24"/>
          <w:lang w:eastAsia="it-IT"/>
        </w:rPr>
        <w:tab/>
      </w:r>
      <w:r w:rsidRPr="002E236C">
        <w:rPr>
          <w:rFonts w:ascii="Arial" w:eastAsia="Times New Roman" w:hAnsi="Arial" w:cs="Arial"/>
          <w:b/>
          <w:bCs/>
          <w:sz w:val="24"/>
          <w:szCs w:val="24"/>
          <w:lang w:eastAsia="it-IT"/>
        </w:rPr>
        <w:tab/>
      </w:r>
      <w:r w:rsidRPr="002E236C">
        <w:rPr>
          <w:rFonts w:ascii="Arial" w:eastAsia="Times New Roman" w:hAnsi="Arial" w:cs="Arial"/>
          <w:b/>
          <w:bCs/>
          <w:sz w:val="24"/>
          <w:szCs w:val="24"/>
          <w:lang w:eastAsia="it-IT"/>
        </w:rPr>
        <w:tab/>
      </w:r>
    </w:p>
    <w:p w:rsidR="002E236C" w:rsidRPr="002E236C" w:rsidRDefault="002E236C" w:rsidP="002E236C">
      <w:pPr>
        <w:autoSpaceDE w:val="0"/>
        <w:autoSpaceDN w:val="0"/>
        <w:adjustRightInd w:val="0"/>
        <w:spacing w:after="0" w:line="240" w:lineRule="auto"/>
        <w:ind w:firstLine="5529"/>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 xml:space="preserve">  Officina Automezzi</w:t>
      </w:r>
    </w:p>
    <w:p w:rsidR="002E236C" w:rsidRPr="002E236C" w:rsidRDefault="002E236C" w:rsidP="002E236C">
      <w:pPr>
        <w:autoSpaceDE w:val="0"/>
        <w:autoSpaceDN w:val="0"/>
        <w:adjustRightInd w:val="0"/>
        <w:spacing w:after="0" w:line="240" w:lineRule="auto"/>
        <w:ind w:firstLine="5529"/>
        <w:jc w:val="both"/>
        <w:rPr>
          <w:rFonts w:ascii="Arial" w:eastAsia="Times New Roman" w:hAnsi="Arial" w:cs="Arial"/>
          <w:sz w:val="24"/>
          <w:szCs w:val="24"/>
          <w:lang w:eastAsia="it-IT"/>
        </w:rPr>
      </w:pPr>
      <w:r w:rsidRPr="002E236C">
        <w:rPr>
          <w:rFonts w:ascii="Arial" w:eastAsia="Times New Roman" w:hAnsi="Arial" w:cs="Arial"/>
          <w:b/>
          <w:bCs/>
          <w:sz w:val="24"/>
          <w:szCs w:val="24"/>
          <w:lang w:eastAsia="it-IT"/>
        </w:rPr>
        <w:t xml:space="preserve">  </w:t>
      </w:r>
      <w:r w:rsidRPr="002E236C">
        <w:rPr>
          <w:rFonts w:ascii="Arial" w:eastAsia="Times New Roman" w:hAnsi="Arial" w:cs="Arial"/>
          <w:sz w:val="24"/>
          <w:szCs w:val="24"/>
          <w:lang w:eastAsia="it-IT"/>
        </w:rPr>
        <w:t>Impianti sportivi</w:t>
      </w: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0"/>
          <w:szCs w:val="20"/>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82816" behindDoc="0" locked="1" layoutInCell="1" allowOverlap="1">
                <wp:simplePos x="0" y="0"/>
                <wp:positionH relativeFrom="column">
                  <wp:posOffset>3314700</wp:posOffset>
                </wp:positionH>
                <wp:positionV relativeFrom="paragraph">
                  <wp:posOffset>490855</wp:posOffset>
                </wp:positionV>
                <wp:extent cx="0" cy="838200"/>
                <wp:effectExtent l="5715" t="12065" r="13335" b="6985"/>
                <wp:wrapNone/>
                <wp:docPr id="22" name="Connettore 1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B597D" id="Connettore 1 2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8.65pt" to="261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">
                <w10:anchorlock/>
              </v:line>
            </w:pict>
          </mc:Fallback>
        </mc:AlternateContent>
      </w:r>
      <w:r w:rsidRPr="002E236C">
        <w:rPr>
          <w:rFonts w:ascii="Verdana" w:eastAsia="Times New Roman" w:hAnsi="Verdana" w:cs="Verdana"/>
          <w:color w:val="FF0000"/>
          <w:sz w:val="20"/>
          <w:szCs w:val="20"/>
          <w:lang w:eastAsia="it-IT"/>
        </w:rPr>
        <w:t xml:space="preserve"> </w:t>
      </w: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0"/>
          <w:szCs w:val="20"/>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FF0000"/>
          <w:sz w:val="20"/>
          <w:szCs w:val="20"/>
          <w:lang w:eastAsia="it-IT"/>
        </w:rPr>
      </w:pPr>
    </w:p>
    <w:p w:rsidR="002E236C" w:rsidRPr="002E236C" w:rsidRDefault="002E236C" w:rsidP="002E236C">
      <w:pPr>
        <w:autoSpaceDE w:val="0"/>
        <w:autoSpaceDN w:val="0"/>
        <w:adjustRightInd w:val="0"/>
        <w:spacing w:after="0" w:line="240" w:lineRule="auto"/>
        <w:ind w:firstLine="5529"/>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Protezione Civile</w:t>
      </w:r>
    </w:p>
    <w:p w:rsidR="002E236C" w:rsidRPr="002E236C" w:rsidRDefault="002E236C" w:rsidP="002E236C">
      <w:pPr>
        <w:autoSpaceDE w:val="0"/>
        <w:autoSpaceDN w:val="0"/>
        <w:adjustRightInd w:val="0"/>
        <w:spacing w:after="0" w:line="240" w:lineRule="auto"/>
        <w:ind w:firstLine="5529"/>
        <w:jc w:val="both"/>
        <w:rPr>
          <w:rFonts w:ascii="Arial" w:eastAsia="Times New Roman" w:hAnsi="Arial" w:cs="Arial"/>
          <w:color w:val="FF0000"/>
          <w:sz w:val="24"/>
          <w:szCs w:val="24"/>
          <w:lang w:eastAsia="it-IT"/>
        </w:rPr>
      </w:pPr>
      <w:r w:rsidRPr="002E236C">
        <w:rPr>
          <w:rFonts w:ascii="Arial" w:eastAsia="Times New Roman" w:hAnsi="Arial" w:cs="Arial"/>
          <w:sz w:val="24"/>
          <w:szCs w:val="24"/>
          <w:lang w:eastAsia="it-IT"/>
        </w:rPr>
        <w:t>Cimiteri</w:t>
      </w:r>
    </w:p>
    <w:p w:rsidR="002E236C" w:rsidRPr="002E236C" w:rsidRDefault="002E236C" w:rsidP="002E236C">
      <w:pPr>
        <w:autoSpaceDE w:val="0"/>
        <w:autoSpaceDN w:val="0"/>
        <w:adjustRightInd w:val="0"/>
        <w:spacing w:after="0" w:line="240" w:lineRule="auto"/>
        <w:ind w:firstLine="5529"/>
        <w:jc w:val="both"/>
        <w:rPr>
          <w:rFonts w:ascii="Arial" w:eastAsia="Times New Roman" w:hAnsi="Arial" w:cs="Arial"/>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709440" behindDoc="0" locked="1" layoutInCell="1" allowOverlap="1">
                <wp:simplePos x="0" y="0"/>
                <wp:positionH relativeFrom="column">
                  <wp:posOffset>2265045</wp:posOffset>
                </wp:positionH>
                <wp:positionV relativeFrom="paragraph">
                  <wp:posOffset>40005</wp:posOffset>
                </wp:positionV>
                <wp:extent cx="990600" cy="0"/>
                <wp:effectExtent l="13335" t="60325" r="15240" b="53975"/>
                <wp:wrapNone/>
                <wp:docPr id="21" name="Connettore 1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7155D" id="Connettore 1 2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35pt,3.15pt" to="256.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">
                <v:stroke endarrow="block"/>
                <w10:anchorlock/>
              </v:line>
            </w:pict>
          </mc:Fallback>
        </mc:AlternateContent>
      </w:r>
      <w:r w:rsidRPr="002E236C">
        <w:rPr>
          <w:rFonts w:ascii="Arial" w:eastAsia="Times New Roman" w:hAnsi="Arial" w:cs="Arial"/>
          <w:sz w:val="24"/>
          <w:szCs w:val="24"/>
          <w:lang w:eastAsia="it-IT"/>
        </w:rPr>
        <w:t>Progettazione/Contabilità lavori</w:t>
      </w:r>
    </w:p>
    <w:p w:rsidR="002E236C" w:rsidRPr="002E236C" w:rsidRDefault="002E236C" w:rsidP="002E236C">
      <w:pPr>
        <w:autoSpaceDE w:val="0"/>
        <w:autoSpaceDN w:val="0"/>
        <w:adjustRightInd w:val="0"/>
        <w:spacing w:after="0" w:line="240" w:lineRule="auto"/>
        <w:ind w:firstLine="5529"/>
        <w:jc w:val="both"/>
        <w:rPr>
          <w:rFonts w:ascii="Arial" w:eastAsia="Times New Roman" w:hAnsi="Arial" w:cs="Arial"/>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708416" behindDoc="0" locked="1" layoutInCell="1" allowOverlap="1">
                <wp:simplePos x="0" y="0"/>
                <wp:positionH relativeFrom="column">
                  <wp:posOffset>-20955</wp:posOffset>
                </wp:positionH>
                <wp:positionV relativeFrom="paragraph">
                  <wp:posOffset>-343535</wp:posOffset>
                </wp:positionV>
                <wp:extent cx="2057400" cy="457200"/>
                <wp:effectExtent l="13335" t="13970" r="5715" b="5080"/>
                <wp:wrapNone/>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1406AD" w:rsidRDefault="001406AD" w:rsidP="002E236C">
                            <w:r>
                              <w:rPr>
                                <w:color w:val="FF0000"/>
                                <w:sz w:val="20"/>
                                <w:szCs w:val="20"/>
                              </w:rPr>
                              <w:t>SERVIZIO ANUTENZIONI PARCHI GIARDINI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0" o:spid="_x0000_s1048" type="#_x0000_t202" style="position:absolute;left:0;text-align:left;margin-left:-1.65pt;margin-top:-27.05pt;width:162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">
                <v:textbox>
                  <w:txbxContent>
                    <w:p w:rsidR="001406AD" w:rsidRDefault="001406AD" w:rsidP="002E236C">
                      <w:r>
                        <w:rPr>
                          <w:color w:val="FF0000"/>
                          <w:sz w:val="20"/>
                          <w:szCs w:val="20"/>
                        </w:rPr>
                        <w:t>SERVIZIO ANUTENZIONI PARCHI GIARDINI</w:t>
                      </w:r>
                    </w:p>
                  </w:txbxContent>
                </v:textbox>
                <w10:anchorlock/>
              </v:shape>
            </w:pict>
          </mc:Fallback>
        </mc:AlternateContent>
      </w:r>
      <w:r w:rsidRPr="002E236C">
        <w:rPr>
          <w:rFonts w:ascii="Arial" w:eastAsia="Times New Roman" w:hAnsi="Arial" w:cs="Arial"/>
          <w:sz w:val="24"/>
          <w:szCs w:val="24"/>
          <w:lang w:eastAsia="it-IT"/>
        </w:rPr>
        <w:t>Squadre Operai</w:t>
      </w: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0"/>
          <w:szCs w:val="20"/>
          <w:lang w:eastAsia="it-IT"/>
        </w:rPr>
      </w:pP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r w:rsidRPr="002E236C">
        <w:rPr>
          <w:rFonts w:ascii="Verdana" w:eastAsia="Times New Roman" w:hAnsi="Verdana" w:cs="Verdana"/>
          <w:color w:val="FF0000"/>
          <w:sz w:val="20"/>
          <w:szCs w:val="20"/>
          <w:lang w:eastAsia="it-IT"/>
        </w:rPr>
        <w:tab/>
      </w:r>
    </w:p>
    <w:p w:rsidR="002E236C" w:rsidRPr="002E236C" w:rsidRDefault="002E236C" w:rsidP="002E236C">
      <w:pPr>
        <w:autoSpaceDE w:val="0"/>
        <w:autoSpaceDN w:val="0"/>
        <w:adjustRightInd w:val="0"/>
        <w:spacing w:after="0" w:line="240" w:lineRule="auto"/>
        <w:jc w:val="both"/>
        <w:rPr>
          <w:rFonts w:ascii="Verdana" w:eastAsia="Times New Roman" w:hAnsi="Verdana" w:cs="Verdana"/>
          <w:b/>
          <w:bCs/>
          <w:sz w:val="20"/>
          <w:szCs w:val="20"/>
          <w:lang w:eastAsia="it-IT"/>
        </w:rPr>
      </w:pPr>
      <w:r w:rsidRPr="002E236C">
        <w:rPr>
          <w:rFonts w:ascii="Verdana" w:eastAsia="Times New Roman" w:hAnsi="Verdana" w:cs="Verdana"/>
          <w:sz w:val="20"/>
          <w:szCs w:val="20"/>
          <w:lang w:eastAsia="it-IT"/>
        </w:rPr>
        <w:tab/>
      </w:r>
    </w:p>
    <w:p w:rsidR="002E236C" w:rsidRPr="002E236C" w:rsidRDefault="002E236C" w:rsidP="002E236C">
      <w:pPr>
        <w:autoSpaceDE w:val="0"/>
        <w:autoSpaceDN w:val="0"/>
        <w:adjustRightInd w:val="0"/>
        <w:spacing w:after="0" w:line="240" w:lineRule="auto"/>
        <w:jc w:val="both"/>
        <w:rPr>
          <w:rFonts w:ascii="Verdana" w:eastAsia="Times New Roman" w:hAnsi="Verdana" w:cs="Verdana"/>
          <w:b/>
          <w:bCs/>
          <w:sz w:val="20"/>
          <w:szCs w:val="20"/>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sidRPr="002E236C">
        <w:rPr>
          <w:rFonts w:ascii="Arial" w:eastAsia="Times New Roman" w:hAnsi="Arial" w:cs="Arial"/>
          <w:sz w:val="24"/>
          <w:szCs w:val="24"/>
          <w:lang w:eastAsia="it-IT"/>
        </w:rPr>
        <w:t xml:space="preserve">Rosati Roberto – </w:t>
      </w:r>
      <w:r w:rsidRPr="002E236C">
        <w:rPr>
          <w:rFonts w:ascii="Arial" w:eastAsia="Times New Roman" w:hAnsi="Arial" w:cs="Arial"/>
          <w:color w:val="000000"/>
          <w:sz w:val="24"/>
          <w:szCs w:val="24"/>
          <w:lang w:eastAsia="it-IT"/>
        </w:rPr>
        <w:t>Responsabile Area</w:t>
      </w: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Ronca Carla</w:t>
      </w:r>
      <w:proofErr w:type="gramStart"/>
      <w:r w:rsidRPr="002E236C">
        <w:rPr>
          <w:rFonts w:ascii="Arial" w:eastAsia="Times New Roman" w:hAnsi="Arial" w:cs="Arial"/>
          <w:color w:val="000000"/>
          <w:sz w:val="24"/>
          <w:szCs w:val="24"/>
          <w:lang w:eastAsia="it-IT"/>
        </w:rPr>
        <w:t xml:space="preserve">   </w:t>
      </w:r>
      <w:r w:rsidRPr="002E236C">
        <w:rPr>
          <w:rFonts w:ascii="Arial" w:eastAsia="Times New Roman" w:hAnsi="Arial" w:cs="Arial"/>
          <w:sz w:val="24"/>
          <w:szCs w:val="24"/>
          <w:lang w:eastAsia="it-IT"/>
        </w:rPr>
        <w:t>(</w:t>
      </w:r>
      <w:proofErr w:type="gramEnd"/>
      <w:r w:rsidRPr="002E236C">
        <w:rPr>
          <w:rFonts w:ascii="Arial" w:eastAsia="Times New Roman" w:hAnsi="Arial" w:cs="Arial"/>
          <w:sz w:val="24"/>
          <w:szCs w:val="24"/>
          <w:lang w:eastAsia="it-IT"/>
        </w:rPr>
        <w:t>Particolare Posizione)</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proofErr w:type="spellStart"/>
      <w:r w:rsidRPr="002E236C">
        <w:rPr>
          <w:rFonts w:ascii="Arial" w:eastAsia="Times New Roman" w:hAnsi="Arial" w:cs="Arial"/>
          <w:sz w:val="24"/>
          <w:szCs w:val="24"/>
          <w:lang w:eastAsia="it-IT"/>
        </w:rPr>
        <w:t>Parretti</w:t>
      </w:r>
      <w:proofErr w:type="spellEnd"/>
      <w:r w:rsidRPr="002E236C">
        <w:rPr>
          <w:rFonts w:ascii="Arial" w:eastAsia="Times New Roman" w:hAnsi="Arial" w:cs="Arial"/>
          <w:sz w:val="24"/>
          <w:szCs w:val="24"/>
          <w:lang w:eastAsia="it-IT"/>
        </w:rPr>
        <w:t xml:space="preserve"> </w:t>
      </w:r>
      <w:proofErr w:type="gramStart"/>
      <w:r w:rsidRPr="002E236C">
        <w:rPr>
          <w:rFonts w:ascii="Arial" w:eastAsia="Times New Roman" w:hAnsi="Arial" w:cs="Arial"/>
          <w:sz w:val="24"/>
          <w:szCs w:val="24"/>
          <w:lang w:eastAsia="it-IT"/>
        </w:rPr>
        <w:t>Moreno  (</w:t>
      </w:r>
      <w:proofErr w:type="gramEnd"/>
      <w:r w:rsidRPr="002E236C">
        <w:rPr>
          <w:rFonts w:ascii="Arial" w:eastAsia="Times New Roman" w:hAnsi="Arial" w:cs="Arial"/>
          <w:sz w:val="24"/>
          <w:szCs w:val="24"/>
          <w:lang w:eastAsia="it-IT"/>
        </w:rPr>
        <w:t>Particolare Posizione)</w:t>
      </w:r>
    </w:p>
    <w:p w:rsidR="002E236C" w:rsidRPr="002E236C" w:rsidRDefault="002E236C" w:rsidP="002E236C">
      <w:pPr>
        <w:autoSpaceDE w:val="0"/>
        <w:autoSpaceDN w:val="0"/>
        <w:adjustRightInd w:val="0"/>
        <w:spacing w:after="0" w:line="240" w:lineRule="auto"/>
        <w:rPr>
          <w:rFonts w:ascii="Arial" w:eastAsia="Times New Roman" w:hAnsi="Arial" w:cs="Arial"/>
          <w:sz w:val="24"/>
          <w:szCs w:val="24"/>
          <w:lang w:eastAsia="it-IT"/>
        </w:rPr>
      </w:pPr>
      <w:r w:rsidRPr="002E236C">
        <w:rPr>
          <w:rFonts w:ascii="Arial" w:eastAsia="Times New Roman" w:hAnsi="Arial" w:cs="Arial"/>
          <w:sz w:val="24"/>
          <w:szCs w:val="24"/>
          <w:lang w:eastAsia="it-IT"/>
        </w:rPr>
        <w:t xml:space="preserve">Giardi Monica </w:t>
      </w: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 xml:space="preserve">1 Istruttore </w:t>
      </w:r>
      <w:proofErr w:type="spellStart"/>
      <w:r w:rsidRPr="002E236C">
        <w:rPr>
          <w:rFonts w:ascii="Arial" w:eastAsia="Times New Roman" w:hAnsi="Arial" w:cs="Arial"/>
          <w:color w:val="000000"/>
          <w:sz w:val="24"/>
          <w:szCs w:val="24"/>
          <w:lang w:eastAsia="it-IT"/>
        </w:rPr>
        <w:t>Amm.vo</w:t>
      </w:r>
      <w:proofErr w:type="spellEnd"/>
      <w:r w:rsidRPr="002E236C">
        <w:rPr>
          <w:rFonts w:ascii="Arial" w:eastAsia="Times New Roman" w:hAnsi="Arial" w:cs="Arial"/>
          <w:color w:val="000000"/>
          <w:sz w:val="24"/>
          <w:szCs w:val="24"/>
          <w:lang w:eastAsia="it-IT"/>
        </w:rPr>
        <w:t xml:space="preserve"> contabile part time 18 ore settimanali per un anno (v. piano </w:t>
      </w:r>
      <w:proofErr w:type="spellStart"/>
      <w:r w:rsidRPr="002E236C">
        <w:rPr>
          <w:rFonts w:ascii="Arial" w:eastAsia="Times New Roman" w:hAnsi="Arial" w:cs="Arial"/>
          <w:color w:val="000000"/>
          <w:sz w:val="24"/>
          <w:szCs w:val="24"/>
          <w:lang w:eastAsia="it-IT"/>
        </w:rPr>
        <w:t>assunzionale</w:t>
      </w:r>
      <w:proofErr w:type="spellEnd"/>
      <w:r w:rsidRPr="002E236C">
        <w:rPr>
          <w:rFonts w:ascii="Arial" w:eastAsia="Times New Roman" w:hAnsi="Arial" w:cs="Arial"/>
          <w:color w:val="000000"/>
          <w:sz w:val="24"/>
          <w:szCs w:val="24"/>
          <w:lang w:eastAsia="it-IT"/>
        </w:rPr>
        <w:t xml:space="preserve"> 2016)</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Moretti Maurizio    Capo-Operai (particolare posizione)</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 xml:space="preserve">Abati </w:t>
      </w:r>
      <w:proofErr w:type="gramStart"/>
      <w:r w:rsidRPr="002E236C">
        <w:rPr>
          <w:rFonts w:ascii="Arial" w:eastAsia="Times New Roman" w:hAnsi="Arial" w:cs="Arial"/>
          <w:sz w:val="24"/>
          <w:szCs w:val="24"/>
          <w:lang w:eastAsia="it-IT"/>
        </w:rPr>
        <w:t>Emanuele  Capo</w:t>
      </w:r>
      <w:proofErr w:type="gramEnd"/>
      <w:r w:rsidRPr="002E236C">
        <w:rPr>
          <w:rFonts w:ascii="Arial" w:eastAsia="Times New Roman" w:hAnsi="Arial" w:cs="Arial"/>
          <w:sz w:val="24"/>
          <w:szCs w:val="24"/>
          <w:lang w:eastAsia="it-IT"/>
        </w:rPr>
        <w:t>-Operai (particolare posizione)</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Angiolini Edo</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proofErr w:type="spellStart"/>
      <w:r w:rsidRPr="002E236C">
        <w:rPr>
          <w:rFonts w:ascii="Arial" w:eastAsia="Times New Roman" w:hAnsi="Arial" w:cs="Arial"/>
          <w:sz w:val="24"/>
          <w:szCs w:val="24"/>
          <w:lang w:eastAsia="it-IT"/>
        </w:rPr>
        <w:t>Baldacconi</w:t>
      </w:r>
      <w:proofErr w:type="spellEnd"/>
      <w:r w:rsidRPr="002E236C">
        <w:rPr>
          <w:rFonts w:ascii="Arial" w:eastAsia="Times New Roman" w:hAnsi="Arial" w:cs="Arial"/>
          <w:sz w:val="24"/>
          <w:szCs w:val="24"/>
          <w:lang w:eastAsia="it-IT"/>
        </w:rPr>
        <w:t xml:space="preserve"> Marco</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 xml:space="preserve">Bernardini Gianluca </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Betti Alessio</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proofErr w:type="spellStart"/>
      <w:r w:rsidRPr="002E236C">
        <w:rPr>
          <w:rFonts w:ascii="Arial" w:eastAsia="Times New Roman" w:hAnsi="Arial" w:cs="Arial"/>
          <w:sz w:val="24"/>
          <w:szCs w:val="24"/>
          <w:lang w:eastAsia="it-IT"/>
        </w:rPr>
        <w:lastRenderedPageBreak/>
        <w:t>Calussi</w:t>
      </w:r>
      <w:proofErr w:type="spellEnd"/>
      <w:r w:rsidRPr="002E236C">
        <w:rPr>
          <w:rFonts w:ascii="Arial" w:eastAsia="Times New Roman" w:hAnsi="Arial" w:cs="Arial"/>
          <w:sz w:val="24"/>
          <w:szCs w:val="24"/>
          <w:lang w:eastAsia="it-IT"/>
        </w:rPr>
        <w:t xml:space="preserve"> </w:t>
      </w:r>
      <w:proofErr w:type="gramStart"/>
      <w:r w:rsidRPr="002E236C">
        <w:rPr>
          <w:rFonts w:ascii="Arial" w:eastAsia="Times New Roman" w:hAnsi="Arial" w:cs="Arial"/>
          <w:sz w:val="24"/>
          <w:szCs w:val="24"/>
          <w:lang w:eastAsia="it-IT"/>
        </w:rPr>
        <w:t>Edo  (</w:t>
      </w:r>
      <w:proofErr w:type="gramEnd"/>
      <w:r w:rsidRPr="002E236C">
        <w:rPr>
          <w:rFonts w:ascii="Arial" w:eastAsia="Times New Roman" w:hAnsi="Arial" w:cs="Arial"/>
          <w:sz w:val="24"/>
          <w:szCs w:val="24"/>
          <w:lang w:eastAsia="it-IT"/>
        </w:rPr>
        <w:t>particolare posizione)</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Capecchi Alessandro</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Caroni Luciano</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Carratelli Sergio</w:t>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r>
      <w:r w:rsidRPr="002E236C">
        <w:rPr>
          <w:rFonts w:ascii="Arial" w:eastAsia="Times New Roman" w:hAnsi="Arial" w:cs="Arial"/>
          <w:sz w:val="24"/>
          <w:szCs w:val="24"/>
          <w:lang w:eastAsia="it-IT"/>
        </w:rPr>
        <w:tab/>
        <w:t xml:space="preserve"> </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 xml:space="preserve">Corda Giuseppe </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proofErr w:type="spellStart"/>
      <w:r w:rsidRPr="002E236C">
        <w:rPr>
          <w:rFonts w:ascii="Arial" w:eastAsia="Times New Roman" w:hAnsi="Arial" w:cs="Arial"/>
          <w:sz w:val="24"/>
          <w:szCs w:val="24"/>
          <w:lang w:eastAsia="it-IT"/>
        </w:rPr>
        <w:t>Cosonesi</w:t>
      </w:r>
      <w:proofErr w:type="spellEnd"/>
      <w:r w:rsidRPr="002E236C">
        <w:rPr>
          <w:rFonts w:ascii="Arial" w:eastAsia="Times New Roman" w:hAnsi="Arial" w:cs="Arial"/>
          <w:sz w:val="24"/>
          <w:szCs w:val="24"/>
          <w:lang w:eastAsia="it-IT"/>
        </w:rPr>
        <w:t xml:space="preserve"> Marcello (particolare posizione)</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Crociani Claudio</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Del Buono Fabio</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 xml:space="preserve">Della </w:t>
      </w:r>
      <w:proofErr w:type="spellStart"/>
      <w:r w:rsidRPr="002E236C">
        <w:rPr>
          <w:rFonts w:ascii="Arial" w:eastAsia="Times New Roman" w:hAnsi="Arial" w:cs="Arial"/>
          <w:sz w:val="24"/>
          <w:szCs w:val="24"/>
          <w:lang w:eastAsia="it-IT"/>
        </w:rPr>
        <w:t>Giovampaola</w:t>
      </w:r>
      <w:proofErr w:type="spellEnd"/>
      <w:r w:rsidRPr="002E236C">
        <w:rPr>
          <w:rFonts w:ascii="Arial" w:eastAsia="Times New Roman" w:hAnsi="Arial" w:cs="Arial"/>
          <w:sz w:val="24"/>
          <w:szCs w:val="24"/>
          <w:lang w:eastAsia="it-IT"/>
        </w:rPr>
        <w:t xml:space="preserve"> Claudio</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Duchini Lodovico</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Faralli Luciano</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Farnetani Claudio</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Fracassi Franco (particolare posizione)</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 xml:space="preserve">Giani </w:t>
      </w:r>
      <w:proofErr w:type="spellStart"/>
      <w:r w:rsidRPr="002E236C">
        <w:rPr>
          <w:rFonts w:ascii="Arial" w:eastAsia="Times New Roman" w:hAnsi="Arial" w:cs="Arial"/>
          <w:sz w:val="24"/>
          <w:szCs w:val="24"/>
          <w:lang w:eastAsia="it-IT"/>
        </w:rPr>
        <w:t>Miviano</w:t>
      </w:r>
      <w:proofErr w:type="spellEnd"/>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Gonzi Aldino</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Iorillo Lorenzo</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proofErr w:type="spellStart"/>
      <w:r w:rsidRPr="002E236C">
        <w:rPr>
          <w:rFonts w:ascii="Arial" w:eastAsia="Times New Roman" w:hAnsi="Arial" w:cs="Arial"/>
          <w:sz w:val="24"/>
          <w:szCs w:val="24"/>
          <w:lang w:eastAsia="it-IT"/>
        </w:rPr>
        <w:t>Marabissi</w:t>
      </w:r>
      <w:proofErr w:type="spellEnd"/>
      <w:r w:rsidRPr="002E236C">
        <w:rPr>
          <w:rFonts w:ascii="Arial" w:eastAsia="Times New Roman" w:hAnsi="Arial" w:cs="Arial"/>
          <w:sz w:val="24"/>
          <w:szCs w:val="24"/>
          <w:lang w:eastAsia="it-IT"/>
        </w:rPr>
        <w:t xml:space="preserve"> Danio</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Massi Tiziano</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Rossi Lepanto</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proofErr w:type="spellStart"/>
      <w:r w:rsidRPr="002E236C">
        <w:rPr>
          <w:rFonts w:ascii="Arial" w:eastAsia="Times New Roman" w:hAnsi="Arial" w:cs="Arial"/>
          <w:sz w:val="24"/>
          <w:szCs w:val="24"/>
          <w:lang w:eastAsia="it-IT"/>
        </w:rPr>
        <w:t>Palassini</w:t>
      </w:r>
      <w:proofErr w:type="spellEnd"/>
      <w:r w:rsidRPr="002E236C">
        <w:rPr>
          <w:rFonts w:ascii="Arial" w:eastAsia="Times New Roman" w:hAnsi="Arial" w:cs="Arial"/>
          <w:sz w:val="24"/>
          <w:szCs w:val="24"/>
          <w:lang w:eastAsia="it-IT"/>
        </w:rPr>
        <w:t xml:space="preserve"> Celso (particolare posizione)</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Papini Maurizio</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Pascucci Fabio (part- time)</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Petrini Gianni</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Rispoli Gaetano</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Rosignoli Michele</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Rossi Graziano</w:t>
      </w:r>
    </w:p>
    <w:p w:rsidR="002E236C" w:rsidRPr="002E236C" w:rsidRDefault="002E236C" w:rsidP="002E236C">
      <w:pPr>
        <w:autoSpaceDE w:val="0"/>
        <w:autoSpaceDN w:val="0"/>
        <w:adjustRightInd w:val="0"/>
        <w:spacing w:after="0" w:line="240" w:lineRule="auto"/>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Solini Alessandro</w:t>
      </w:r>
    </w:p>
    <w:p w:rsidR="002E236C" w:rsidRPr="002E236C" w:rsidRDefault="002E236C" w:rsidP="002E236C">
      <w:pPr>
        <w:autoSpaceDE w:val="0"/>
        <w:autoSpaceDN w:val="0"/>
        <w:adjustRightInd w:val="0"/>
        <w:spacing w:after="0" w:line="240" w:lineRule="auto"/>
        <w:ind w:right="5655"/>
        <w:jc w:val="both"/>
        <w:rPr>
          <w:rFonts w:ascii="Arial" w:eastAsia="Times New Roman" w:hAnsi="Arial" w:cs="Arial"/>
          <w:sz w:val="24"/>
          <w:szCs w:val="24"/>
          <w:lang w:eastAsia="it-IT"/>
        </w:rPr>
      </w:pPr>
      <w:r w:rsidRPr="002E236C">
        <w:rPr>
          <w:rFonts w:ascii="Arial" w:eastAsia="Times New Roman" w:hAnsi="Arial" w:cs="Arial"/>
          <w:sz w:val="24"/>
          <w:szCs w:val="24"/>
          <w:lang w:eastAsia="it-IT"/>
        </w:rPr>
        <w:t>Zamperini Gianluca</w:t>
      </w: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sidRPr="002E236C">
        <w:rPr>
          <w:rFonts w:ascii="Arial" w:eastAsia="Times New Roman" w:hAnsi="Arial" w:cs="Arial"/>
          <w:sz w:val="24"/>
          <w:szCs w:val="24"/>
          <w:lang w:eastAsia="it-IT"/>
        </w:rPr>
        <w:t xml:space="preserve">1 Collaboratore professionale tecnico per 12 mesi (da suddividere in più periodi a seconda delle esigenze) </w:t>
      </w:r>
      <w:r w:rsidRPr="002E236C">
        <w:rPr>
          <w:rFonts w:ascii="Arial" w:eastAsia="Times New Roman" w:hAnsi="Arial" w:cs="Arial"/>
          <w:color w:val="000000"/>
          <w:sz w:val="24"/>
          <w:szCs w:val="24"/>
          <w:lang w:eastAsia="it-IT"/>
        </w:rPr>
        <w:t xml:space="preserve">(v. piano </w:t>
      </w:r>
      <w:proofErr w:type="spellStart"/>
      <w:r w:rsidRPr="002E236C">
        <w:rPr>
          <w:rFonts w:ascii="Arial" w:eastAsia="Times New Roman" w:hAnsi="Arial" w:cs="Arial"/>
          <w:color w:val="000000"/>
          <w:sz w:val="24"/>
          <w:szCs w:val="24"/>
          <w:lang w:eastAsia="it-IT"/>
        </w:rPr>
        <w:t>assunzionale</w:t>
      </w:r>
      <w:proofErr w:type="spellEnd"/>
      <w:r w:rsidRPr="002E236C">
        <w:rPr>
          <w:rFonts w:ascii="Arial" w:eastAsia="Times New Roman" w:hAnsi="Arial" w:cs="Arial"/>
          <w:color w:val="000000"/>
          <w:sz w:val="24"/>
          <w:szCs w:val="24"/>
          <w:lang w:eastAsia="it-IT"/>
        </w:rPr>
        <w:t xml:space="preserve"> 2016)</w:t>
      </w: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sidRPr="002E236C">
        <w:rPr>
          <w:rFonts w:ascii="Arial" w:eastAsia="Times New Roman" w:hAnsi="Arial" w:cs="Arial"/>
          <w:sz w:val="24"/>
          <w:szCs w:val="24"/>
          <w:lang w:eastAsia="it-IT"/>
        </w:rPr>
        <w:t xml:space="preserve">1 Collaboratore professionale tecnico per 11 </w:t>
      </w:r>
      <w:proofErr w:type="gramStart"/>
      <w:r w:rsidRPr="002E236C">
        <w:rPr>
          <w:rFonts w:ascii="Arial" w:eastAsia="Times New Roman" w:hAnsi="Arial" w:cs="Arial"/>
          <w:sz w:val="24"/>
          <w:szCs w:val="24"/>
          <w:lang w:eastAsia="it-IT"/>
        </w:rPr>
        <w:t>mesi  (</w:t>
      </w:r>
      <w:proofErr w:type="gramEnd"/>
      <w:r w:rsidRPr="002E236C">
        <w:rPr>
          <w:rFonts w:ascii="Arial" w:eastAsia="Times New Roman" w:hAnsi="Arial" w:cs="Arial"/>
          <w:sz w:val="24"/>
          <w:szCs w:val="24"/>
          <w:lang w:eastAsia="it-IT"/>
        </w:rPr>
        <w:t xml:space="preserve">da suddividere in più periodi a seconda delle esigenze) </w:t>
      </w:r>
      <w:r w:rsidRPr="002E236C">
        <w:rPr>
          <w:rFonts w:ascii="Arial" w:eastAsia="Times New Roman" w:hAnsi="Arial" w:cs="Arial"/>
          <w:color w:val="000000"/>
          <w:sz w:val="24"/>
          <w:szCs w:val="24"/>
          <w:lang w:eastAsia="it-IT"/>
        </w:rPr>
        <w:t xml:space="preserve">(v. piano </w:t>
      </w:r>
      <w:proofErr w:type="spellStart"/>
      <w:r w:rsidRPr="002E236C">
        <w:rPr>
          <w:rFonts w:ascii="Arial" w:eastAsia="Times New Roman" w:hAnsi="Arial" w:cs="Arial"/>
          <w:color w:val="000000"/>
          <w:sz w:val="24"/>
          <w:szCs w:val="24"/>
          <w:lang w:eastAsia="it-IT"/>
        </w:rPr>
        <w:t>assunzionale</w:t>
      </w:r>
      <w:proofErr w:type="spellEnd"/>
      <w:r w:rsidRPr="002E236C">
        <w:rPr>
          <w:rFonts w:ascii="Arial" w:eastAsia="Times New Roman" w:hAnsi="Arial" w:cs="Arial"/>
          <w:color w:val="000000"/>
          <w:sz w:val="24"/>
          <w:szCs w:val="24"/>
          <w:lang w:eastAsia="it-IT"/>
        </w:rPr>
        <w:t xml:space="preserve"> 2016)</w:t>
      </w:r>
    </w:p>
    <w:p w:rsidR="002E236C" w:rsidRPr="002E236C" w:rsidRDefault="002E236C" w:rsidP="002E236C">
      <w:pPr>
        <w:autoSpaceDE w:val="0"/>
        <w:autoSpaceDN w:val="0"/>
        <w:adjustRightInd w:val="0"/>
        <w:spacing w:after="0" w:line="240" w:lineRule="auto"/>
        <w:ind w:right="5655"/>
        <w:jc w:val="both"/>
        <w:rPr>
          <w:rFonts w:ascii="Arial" w:eastAsia="Times New Roman" w:hAnsi="Arial" w:cs="Arial"/>
          <w:sz w:val="24"/>
          <w:szCs w:val="24"/>
          <w:lang w:eastAsia="it-IT"/>
        </w:rPr>
      </w:pPr>
    </w:p>
    <w:p w:rsidR="002E236C" w:rsidRPr="002E236C" w:rsidRDefault="002E236C" w:rsidP="002E236C">
      <w:pPr>
        <w:autoSpaceDE w:val="0"/>
        <w:autoSpaceDN w:val="0"/>
        <w:adjustRightInd w:val="0"/>
        <w:spacing w:after="0" w:line="240" w:lineRule="auto"/>
        <w:ind w:right="5655"/>
        <w:jc w:val="both"/>
        <w:rPr>
          <w:rFonts w:ascii="Arial" w:eastAsia="Times New Roman" w:hAnsi="Arial" w:cs="Arial"/>
          <w:sz w:val="24"/>
          <w:szCs w:val="24"/>
          <w:lang w:eastAsia="it-IT"/>
        </w:rPr>
      </w:pPr>
    </w:p>
    <w:p w:rsidR="002E236C" w:rsidRPr="002E236C" w:rsidRDefault="002E236C" w:rsidP="002E236C">
      <w:pPr>
        <w:autoSpaceDE w:val="0"/>
        <w:autoSpaceDN w:val="0"/>
        <w:adjustRightInd w:val="0"/>
        <w:spacing w:after="0" w:line="240" w:lineRule="auto"/>
        <w:ind w:right="5655"/>
        <w:jc w:val="both"/>
        <w:rPr>
          <w:rFonts w:ascii="Arial" w:eastAsia="Times New Roman" w:hAnsi="Arial" w:cs="Arial"/>
          <w:sz w:val="24"/>
          <w:szCs w:val="24"/>
          <w:lang w:eastAsia="it-IT"/>
        </w:rPr>
      </w:pPr>
    </w:p>
    <w:p w:rsidR="002E236C" w:rsidRPr="002E236C" w:rsidRDefault="002E236C" w:rsidP="002E236C">
      <w:pPr>
        <w:autoSpaceDE w:val="0"/>
        <w:autoSpaceDN w:val="0"/>
        <w:adjustRightInd w:val="0"/>
        <w:spacing w:after="0" w:line="240" w:lineRule="auto"/>
        <w:ind w:right="5655"/>
        <w:jc w:val="both"/>
        <w:rPr>
          <w:rFonts w:ascii="Verdana" w:eastAsia="Times New Roman" w:hAnsi="Verdana" w:cs="Verdana"/>
          <w:sz w:val="20"/>
          <w:szCs w:val="20"/>
          <w:lang w:eastAsia="it-IT"/>
        </w:rPr>
      </w:pPr>
    </w:p>
    <w:p w:rsidR="002E236C" w:rsidRPr="002E236C" w:rsidRDefault="002E236C" w:rsidP="002E236C">
      <w:pPr>
        <w:autoSpaceDE w:val="0"/>
        <w:autoSpaceDN w:val="0"/>
        <w:adjustRightInd w:val="0"/>
        <w:spacing w:after="0" w:line="240" w:lineRule="auto"/>
        <w:ind w:right="5655"/>
        <w:jc w:val="both"/>
        <w:rPr>
          <w:rFonts w:ascii="Verdana" w:eastAsia="Times New Roman" w:hAnsi="Verdana" w:cs="Verdana"/>
          <w:sz w:val="20"/>
          <w:szCs w:val="20"/>
          <w:lang w:eastAsia="it-IT"/>
        </w:rPr>
      </w:pPr>
    </w:p>
    <w:p w:rsidR="002E236C" w:rsidRPr="002E236C" w:rsidRDefault="002E236C" w:rsidP="002E236C">
      <w:pPr>
        <w:autoSpaceDE w:val="0"/>
        <w:autoSpaceDN w:val="0"/>
        <w:adjustRightInd w:val="0"/>
        <w:spacing w:after="0" w:line="240" w:lineRule="auto"/>
        <w:ind w:right="5655"/>
        <w:jc w:val="both"/>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ind w:right="5655"/>
        <w:jc w:val="both"/>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ind w:right="5655"/>
        <w:jc w:val="both"/>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ind w:right="5655"/>
        <w:jc w:val="both"/>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ind w:right="5655"/>
        <w:jc w:val="both"/>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ind w:right="5655"/>
        <w:jc w:val="both"/>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ind w:right="5655"/>
        <w:jc w:val="both"/>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ind w:right="5655"/>
        <w:jc w:val="both"/>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ind w:right="5655"/>
        <w:jc w:val="both"/>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ind w:right="5655"/>
        <w:jc w:val="both"/>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ind w:right="5655"/>
        <w:jc w:val="both"/>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ind w:right="5655"/>
        <w:jc w:val="both"/>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ind w:right="5655"/>
        <w:jc w:val="both"/>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711488" behindDoc="0" locked="1" layoutInCell="1" allowOverlap="1">
                <wp:simplePos x="0" y="0"/>
                <wp:positionH relativeFrom="column">
                  <wp:posOffset>2112645</wp:posOffset>
                </wp:positionH>
                <wp:positionV relativeFrom="paragraph">
                  <wp:posOffset>-298450</wp:posOffset>
                </wp:positionV>
                <wp:extent cx="2514600" cy="887730"/>
                <wp:effectExtent l="13335" t="12065" r="5715" b="508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87730"/>
                        </a:xfrm>
                        <a:prstGeom prst="rect">
                          <a:avLst/>
                        </a:prstGeom>
                        <a:solidFill>
                          <a:srgbClr val="FFFFFF"/>
                        </a:solidFill>
                        <a:ln w="9525">
                          <a:solidFill>
                            <a:srgbClr val="000000"/>
                          </a:solidFill>
                          <a:miter lim="800000"/>
                          <a:headEnd/>
                          <a:tailEnd/>
                        </a:ln>
                      </wps:spPr>
                      <wps:txbx>
                        <w:txbxContent>
                          <w:p w:rsidR="001406AD" w:rsidRPr="00EE5413" w:rsidRDefault="001406AD" w:rsidP="002E236C">
                            <w:pPr>
                              <w:jc w:val="center"/>
                              <w:rPr>
                                <w:color w:val="FF0000"/>
                              </w:rPr>
                            </w:pPr>
                            <w:r w:rsidRPr="00EE5413">
                              <w:rPr>
                                <w:color w:val="FF0000"/>
                              </w:rPr>
                              <w:t>AREA</w:t>
                            </w:r>
                          </w:p>
                          <w:p w:rsidR="001406AD" w:rsidRPr="00EE5413" w:rsidRDefault="001406AD" w:rsidP="002E236C">
                            <w:pPr>
                              <w:jc w:val="center"/>
                              <w:rPr>
                                <w:color w:val="FF0000"/>
                              </w:rPr>
                            </w:pPr>
                            <w:r w:rsidRPr="00EE5413">
                              <w:rPr>
                                <w:color w:val="FF0000"/>
                              </w:rPr>
                              <w:t>STAFF</w:t>
                            </w:r>
                          </w:p>
                          <w:p w:rsidR="001406AD" w:rsidRPr="00EE5413" w:rsidRDefault="001406AD" w:rsidP="002E236C">
                            <w:pPr>
                              <w:jc w:val="center"/>
                              <w:rPr>
                                <w:color w:val="FF0000"/>
                              </w:rPr>
                            </w:pPr>
                            <w:r w:rsidRPr="00EE5413">
                              <w:rPr>
                                <w:color w:val="FF0000"/>
                              </w:rPr>
                              <w:t>ALTA SPECIALIZZAZIONE</w:t>
                            </w:r>
                          </w:p>
                          <w:p w:rsidR="001406AD" w:rsidRPr="008206F8" w:rsidRDefault="001406AD" w:rsidP="002E236C">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9" o:spid="_x0000_s1049" type="#_x0000_t202" style="position:absolute;margin-left:166.35pt;margin-top:-23.5pt;width:198pt;height:69.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">
                <v:textbox>
                  <w:txbxContent>
                    <w:p w:rsidR="001406AD" w:rsidRPr="00EE5413" w:rsidRDefault="001406AD" w:rsidP="002E236C">
                      <w:pPr>
                        <w:jc w:val="center"/>
                        <w:rPr>
                          <w:color w:val="FF0000"/>
                        </w:rPr>
                      </w:pPr>
                      <w:r w:rsidRPr="00EE5413">
                        <w:rPr>
                          <w:color w:val="FF0000"/>
                        </w:rPr>
                        <w:t>AREA</w:t>
                      </w:r>
                    </w:p>
                    <w:p w:rsidR="001406AD" w:rsidRPr="00EE5413" w:rsidRDefault="001406AD" w:rsidP="002E236C">
                      <w:pPr>
                        <w:jc w:val="center"/>
                        <w:rPr>
                          <w:color w:val="FF0000"/>
                        </w:rPr>
                      </w:pPr>
                      <w:r w:rsidRPr="00EE5413">
                        <w:rPr>
                          <w:color w:val="FF0000"/>
                        </w:rPr>
                        <w:t>STAFF</w:t>
                      </w:r>
                    </w:p>
                    <w:p w:rsidR="001406AD" w:rsidRPr="00EE5413" w:rsidRDefault="001406AD" w:rsidP="002E236C">
                      <w:pPr>
                        <w:jc w:val="center"/>
                        <w:rPr>
                          <w:color w:val="FF0000"/>
                        </w:rPr>
                      </w:pPr>
                      <w:r w:rsidRPr="00EE5413">
                        <w:rPr>
                          <w:color w:val="FF0000"/>
                        </w:rPr>
                        <w:t>ALTA SPECIALIZZAZIONE</w:t>
                      </w:r>
                    </w:p>
                    <w:p w:rsidR="001406AD" w:rsidRPr="008206F8" w:rsidRDefault="001406AD" w:rsidP="002E236C">
                      <w:pPr>
                        <w:jc w:val="center"/>
                        <w:rPr>
                          <w:color w:val="FF0000"/>
                        </w:rPr>
                      </w:pPr>
                    </w:p>
                  </w:txbxContent>
                </v:textbox>
                <w10:anchorlock/>
              </v:shape>
            </w:pict>
          </mc:Fallback>
        </mc:AlternateContent>
      </w:r>
    </w:p>
    <w:p w:rsidR="002E236C" w:rsidRPr="002E236C" w:rsidRDefault="002E236C" w:rsidP="002E236C">
      <w:pPr>
        <w:autoSpaceDE w:val="0"/>
        <w:autoSpaceDN w:val="0"/>
        <w:adjustRightInd w:val="0"/>
        <w:spacing w:after="0" w:line="240" w:lineRule="auto"/>
        <w:jc w:val="both"/>
        <w:rPr>
          <w:rFonts w:ascii="Verdana" w:eastAsia="Times New Roman" w:hAnsi="Verdana" w:cs="Verdana"/>
          <w:b/>
          <w:bCs/>
          <w:sz w:val="20"/>
          <w:szCs w:val="20"/>
          <w:lang w:eastAsia="it-IT"/>
        </w:rPr>
      </w:pPr>
      <w:r w:rsidRPr="002E236C">
        <w:rPr>
          <w:rFonts w:ascii="Verdana" w:eastAsia="Times New Roman" w:hAnsi="Verdana" w:cs="Verdana"/>
          <w:b/>
          <w:bCs/>
          <w:sz w:val="20"/>
          <w:szCs w:val="20"/>
          <w:lang w:eastAsia="it-IT"/>
        </w:rPr>
        <w:tab/>
      </w:r>
      <w:r w:rsidRPr="002E236C">
        <w:rPr>
          <w:rFonts w:ascii="Verdana" w:eastAsia="Times New Roman" w:hAnsi="Verdana" w:cs="Verdana"/>
          <w:b/>
          <w:bCs/>
          <w:sz w:val="20"/>
          <w:szCs w:val="20"/>
          <w:lang w:eastAsia="it-IT"/>
        </w:rPr>
        <w:tab/>
      </w:r>
      <w:r w:rsidRPr="002E236C">
        <w:rPr>
          <w:rFonts w:ascii="Verdana" w:eastAsia="Times New Roman" w:hAnsi="Verdana" w:cs="Verdana"/>
          <w:b/>
          <w:bCs/>
          <w:sz w:val="20"/>
          <w:szCs w:val="20"/>
          <w:lang w:eastAsia="it-IT"/>
        </w:rPr>
        <w:tab/>
      </w:r>
      <w:r w:rsidRPr="002E236C">
        <w:rPr>
          <w:rFonts w:ascii="Verdana" w:eastAsia="Times New Roman" w:hAnsi="Verdana" w:cs="Verdana"/>
          <w:b/>
          <w:bCs/>
          <w:sz w:val="20"/>
          <w:szCs w:val="20"/>
          <w:lang w:eastAsia="it-IT"/>
        </w:rPr>
        <w:tab/>
      </w:r>
      <w:r w:rsidRPr="002E236C">
        <w:rPr>
          <w:rFonts w:ascii="Verdana" w:eastAsia="Times New Roman" w:hAnsi="Verdana" w:cs="Verdana"/>
          <w:b/>
          <w:bCs/>
          <w:sz w:val="20"/>
          <w:szCs w:val="20"/>
          <w:lang w:eastAsia="it-IT"/>
        </w:rPr>
        <w:tab/>
      </w:r>
      <w:r w:rsidRPr="002E236C">
        <w:rPr>
          <w:rFonts w:ascii="Verdana" w:eastAsia="Times New Roman" w:hAnsi="Verdana" w:cs="Verdana"/>
          <w:b/>
          <w:bCs/>
          <w:sz w:val="20"/>
          <w:szCs w:val="20"/>
          <w:lang w:eastAsia="it-IT"/>
        </w:rPr>
        <w:tab/>
        <w:t xml:space="preserve">                            </w:t>
      </w:r>
      <w:r w:rsidRPr="002E236C">
        <w:rPr>
          <w:rFonts w:ascii="Verdana" w:eastAsia="Times New Roman" w:hAnsi="Verdana" w:cs="Verdana"/>
          <w:b/>
          <w:bCs/>
          <w:sz w:val="20"/>
          <w:szCs w:val="20"/>
          <w:lang w:eastAsia="it-IT"/>
        </w:rPr>
        <w:tab/>
      </w:r>
      <w:r w:rsidRPr="002E236C">
        <w:rPr>
          <w:rFonts w:ascii="Verdana" w:eastAsia="Times New Roman" w:hAnsi="Verdana" w:cs="Verdana"/>
          <w:b/>
          <w:bCs/>
          <w:sz w:val="20"/>
          <w:szCs w:val="20"/>
          <w:lang w:eastAsia="it-IT"/>
        </w:rPr>
        <w:tab/>
      </w:r>
      <w:r w:rsidRPr="002E236C">
        <w:rPr>
          <w:rFonts w:ascii="Verdana" w:eastAsia="Times New Roman" w:hAnsi="Verdana" w:cs="Verdana"/>
          <w:b/>
          <w:bCs/>
          <w:sz w:val="20"/>
          <w:szCs w:val="20"/>
          <w:lang w:eastAsia="it-IT"/>
        </w:rPr>
        <w:tab/>
      </w:r>
      <w:r w:rsidRPr="002E236C">
        <w:rPr>
          <w:rFonts w:ascii="Verdana" w:eastAsia="Times New Roman" w:hAnsi="Verdana" w:cs="Verdana"/>
          <w:b/>
          <w:bCs/>
          <w:sz w:val="20"/>
          <w:szCs w:val="20"/>
          <w:lang w:eastAsia="it-IT"/>
        </w:rPr>
        <w:tab/>
      </w:r>
      <w:r w:rsidRPr="002E236C">
        <w:rPr>
          <w:rFonts w:ascii="Verdana" w:eastAsia="Times New Roman" w:hAnsi="Verdana" w:cs="Verdana"/>
          <w:b/>
          <w:bCs/>
          <w:sz w:val="20"/>
          <w:szCs w:val="20"/>
          <w:lang w:eastAsia="it-IT"/>
        </w:rPr>
        <w:tab/>
      </w:r>
      <w:r w:rsidRPr="002E236C">
        <w:rPr>
          <w:rFonts w:ascii="Verdana" w:eastAsia="Times New Roman" w:hAnsi="Verdana" w:cs="Verdana"/>
          <w:b/>
          <w:bCs/>
          <w:sz w:val="20"/>
          <w:szCs w:val="20"/>
          <w:lang w:eastAsia="it-IT"/>
        </w:rPr>
        <w:tab/>
        <w:t xml:space="preserve">                            </w:t>
      </w:r>
    </w:p>
    <w:p w:rsidR="002E236C" w:rsidRPr="002E236C" w:rsidRDefault="002E236C" w:rsidP="002E236C">
      <w:pPr>
        <w:autoSpaceDE w:val="0"/>
        <w:autoSpaceDN w:val="0"/>
        <w:adjustRightInd w:val="0"/>
        <w:spacing w:after="0" w:line="240" w:lineRule="auto"/>
        <w:jc w:val="both"/>
        <w:rPr>
          <w:rFonts w:ascii="Verdana" w:eastAsia="Times New Roman" w:hAnsi="Verdana" w:cs="Verdana"/>
          <w:b/>
          <w:bCs/>
          <w:sz w:val="20"/>
          <w:szCs w:val="20"/>
          <w:lang w:eastAsia="it-IT"/>
        </w:rPr>
      </w:pPr>
      <w:r w:rsidRPr="002E236C">
        <w:rPr>
          <w:rFonts w:ascii="Verdana" w:eastAsia="Times New Roman" w:hAnsi="Verdana" w:cs="Verdana"/>
          <w:b/>
          <w:bCs/>
          <w:sz w:val="20"/>
          <w:szCs w:val="20"/>
          <w:lang w:eastAsia="it-IT"/>
        </w:rPr>
        <w:tab/>
      </w:r>
      <w:r w:rsidRPr="002E236C">
        <w:rPr>
          <w:rFonts w:ascii="Verdana" w:eastAsia="Times New Roman" w:hAnsi="Verdana" w:cs="Verdana"/>
          <w:b/>
          <w:bCs/>
          <w:sz w:val="20"/>
          <w:szCs w:val="20"/>
          <w:lang w:eastAsia="it-IT"/>
        </w:rPr>
        <w:tab/>
      </w:r>
      <w:r w:rsidRPr="002E236C">
        <w:rPr>
          <w:rFonts w:ascii="Verdana" w:eastAsia="Times New Roman" w:hAnsi="Verdana" w:cs="Verdana"/>
          <w:b/>
          <w:bCs/>
          <w:sz w:val="20"/>
          <w:szCs w:val="20"/>
          <w:lang w:eastAsia="it-IT"/>
        </w:rPr>
        <w:tab/>
      </w:r>
      <w:r w:rsidRPr="002E236C">
        <w:rPr>
          <w:rFonts w:ascii="Verdana" w:eastAsia="Times New Roman" w:hAnsi="Verdana" w:cs="Verdana"/>
          <w:b/>
          <w:bCs/>
          <w:sz w:val="20"/>
          <w:szCs w:val="20"/>
          <w:lang w:eastAsia="it-IT"/>
        </w:rPr>
        <w:tab/>
      </w:r>
    </w:p>
    <w:p w:rsidR="002E236C" w:rsidRPr="002E236C" w:rsidRDefault="002E236C" w:rsidP="002E236C">
      <w:pPr>
        <w:autoSpaceDE w:val="0"/>
        <w:autoSpaceDN w:val="0"/>
        <w:adjustRightInd w:val="0"/>
        <w:spacing w:after="0" w:line="240" w:lineRule="auto"/>
        <w:jc w:val="both"/>
        <w:rPr>
          <w:rFonts w:ascii="Verdana" w:eastAsia="Times New Roman" w:hAnsi="Verdana" w:cs="Verdana"/>
          <w:b/>
          <w:bCs/>
          <w:sz w:val="20"/>
          <w:szCs w:val="20"/>
          <w:lang w:eastAsia="it-IT"/>
        </w:rPr>
      </w:pPr>
    </w:p>
    <w:p w:rsidR="002E236C" w:rsidRPr="002E236C" w:rsidRDefault="002E236C" w:rsidP="006B7142">
      <w:pPr>
        <w:autoSpaceDE w:val="0"/>
        <w:autoSpaceDN w:val="0"/>
        <w:adjustRightInd w:val="0"/>
        <w:spacing w:after="0" w:line="240" w:lineRule="auto"/>
        <w:jc w:val="both"/>
        <w:rPr>
          <w:rFonts w:ascii="Verdana" w:eastAsia="Times New Roman" w:hAnsi="Verdana" w:cs="Verdana"/>
          <w:sz w:val="20"/>
          <w:szCs w:val="20"/>
          <w:lang w:eastAsia="it-IT"/>
        </w:rPr>
      </w:pPr>
      <w:r w:rsidRPr="002E236C">
        <w:rPr>
          <w:rFonts w:ascii="Verdana" w:eastAsia="Times New Roman" w:hAnsi="Verdana" w:cs="Verdana"/>
          <w:color w:val="FF0000"/>
          <w:sz w:val="24"/>
          <w:szCs w:val="24"/>
          <w:lang w:eastAsia="it-IT"/>
        </w:rPr>
        <w:t xml:space="preserve">       </w:t>
      </w:r>
      <w:r w:rsidRPr="002E236C">
        <w:rPr>
          <w:rFonts w:ascii="Verdana" w:eastAsia="Times New Roman" w:hAnsi="Verdana" w:cs="Verdana"/>
          <w:color w:val="FF0000"/>
          <w:sz w:val="24"/>
          <w:szCs w:val="24"/>
          <w:lang w:eastAsia="it-IT"/>
        </w:rPr>
        <w:tab/>
      </w:r>
      <w:r w:rsidRPr="002E236C">
        <w:rPr>
          <w:rFonts w:ascii="Verdana" w:eastAsia="Times New Roman" w:hAnsi="Verdana" w:cs="Verdana"/>
          <w:color w:val="FF0000"/>
          <w:sz w:val="24"/>
          <w:szCs w:val="24"/>
          <w:lang w:eastAsia="it-IT"/>
        </w:rPr>
        <w:tab/>
      </w:r>
      <w:r w:rsidRPr="002E236C">
        <w:rPr>
          <w:rFonts w:ascii="Verdana" w:eastAsia="Times New Roman" w:hAnsi="Verdana" w:cs="Verdana"/>
          <w:color w:val="FF0000"/>
          <w:sz w:val="24"/>
          <w:szCs w:val="24"/>
          <w:lang w:eastAsia="it-IT"/>
        </w:rPr>
        <w:tab/>
      </w:r>
      <w:r w:rsidRPr="002E236C">
        <w:rPr>
          <w:rFonts w:ascii="Verdana" w:eastAsia="Times New Roman" w:hAnsi="Verdana" w:cs="Verdana"/>
          <w:color w:val="FF0000"/>
          <w:sz w:val="24"/>
          <w:szCs w:val="24"/>
          <w:lang w:eastAsia="it-IT"/>
        </w:rPr>
        <w:tab/>
        <w:t xml:space="preserve">                              </w:t>
      </w: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0"/>
          <w:szCs w:val="20"/>
          <w:lang w:eastAsia="it-IT"/>
        </w:rPr>
      </w:pPr>
      <w:r w:rsidRPr="002E236C">
        <w:rPr>
          <w:rFonts w:ascii="Verdana" w:eastAsia="Times New Roman" w:hAnsi="Verdana" w:cs="Verdana"/>
          <w:sz w:val="20"/>
          <w:szCs w:val="20"/>
          <w:lang w:eastAsia="it-IT"/>
        </w:rPr>
        <w:tab/>
      </w:r>
      <w:r w:rsidRPr="002E236C">
        <w:rPr>
          <w:rFonts w:ascii="Verdana" w:eastAsia="Times New Roman" w:hAnsi="Verdana" w:cs="Verdana"/>
          <w:sz w:val="20"/>
          <w:szCs w:val="20"/>
          <w:lang w:eastAsia="it-IT"/>
        </w:rPr>
        <w:tab/>
      </w:r>
      <w:r w:rsidRPr="002E236C">
        <w:rPr>
          <w:rFonts w:ascii="Verdana" w:eastAsia="Times New Roman" w:hAnsi="Verdana" w:cs="Verdana"/>
          <w:sz w:val="20"/>
          <w:szCs w:val="20"/>
          <w:lang w:eastAsia="it-IT"/>
        </w:rPr>
        <w:tab/>
      </w:r>
      <w:r w:rsidRPr="002E236C">
        <w:rPr>
          <w:rFonts w:ascii="Verdana" w:eastAsia="Times New Roman" w:hAnsi="Verdana" w:cs="Verdana"/>
          <w:sz w:val="20"/>
          <w:szCs w:val="20"/>
          <w:lang w:eastAsia="it-IT"/>
        </w:rPr>
        <w:tab/>
      </w:r>
      <w:r w:rsidRPr="002E236C">
        <w:rPr>
          <w:rFonts w:ascii="Verdana" w:eastAsia="Times New Roman" w:hAnsi="Verdana" w:cs="Verdana"/>
          <w:sz w:val="20"/>
          <w:szCs w:val="20"/>
          <w:lang w:eastAsia="it-IT"/>
        </w:rPr>
        <w:tab/>
      </w:r>
      <w:r w:rsidRPr="002E236C">
        <w:rPr>
          <w:rFonts w:ascii="Verdana" w:eastAsia="Times New Roman" w:hAnsi="Verdana" w:cs="Verdana"/>
          <w:sz w:val="20"/>
          <w:szCs w:val="20"/>
          <w:lang w:eastAsia="it-IT"/>
        </w:rPr>
        <w:tab/>
      </w:r>
      <w:r w:rsidRPr="002E236C">
        <w:rPr>
          <w:rFonts w:ascii="Verdana" w:eastAsia="Times New Roman" w:hAnsi="Verdana" w:cs="Verdana"/>
          <w:sz w:val="20"/>
          <w:szCs w:val="20"/>
          <w:lang w:eastAsia="it-IT"/>
        </w:rPr>
        <w:tab/>
      </w:r>
      <w:r w:rsidRPr="002E236C">
        <w:rPr>
          <w:rFonts w:ascii="Verdana" w:eastAsia="Times New Roman" w:hAnsi="Verdana" w:cs="Verdana"/>
          <w:sz w:val="20"/>
          <w:szCs w:val="20"/>
          <w:lang w:eastAsia="it-IT"/>
        </w:rPr>
        <w:tab/>
      </w: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r w:rsidRPr="002E236C">
        <w:rPr>
          <w:rFonts w:ascii="Verdana" w:eastAsia="Times New Roman" w:hAnsi="Verdana" w:cs="Verdana"/>
          <w:sz w:val="24"/>
          <w:szCs w:val="24"/>
          <w:lang w:eastAsia="it-IT"/>
        </w:rPr>
        <w:t>VALORIZZAZIONE PATRIMONIO</w:t>
      </w: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r w:rsidRPr="002E236C">
        <w:rPr>
          <w:rFonts w:ascii="Verdana" w:eastAsia="Times New Roman" w:hAnsi="Verdana" w:cs="Verdana"/>
          <w:sz w:val="24"/>
          <w:szCs w:val="24"/>
          <w:lang w:eastAsia="it-IT"/>
        </w:rPr>
        <w:t>SERVIZI PUBBLICI IN CONCESSIONE</w:t>
      </w: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r w:rsidRPr="002E236C">
        <w:rPr>
          <w:rFonts w:ascii="Verdana" w:eastAsia="Times New Roman" w:hAnsi="Verdana" w:cs="Verdana"/>
          <w:sz w:val="24"/>
          <w:szCs w:val="24"/>
          <w:lang w:eastAsia="it-IT"/>
        </w:rPr>
        <w:t xml:space="preserve">FONDI EUROPEI E REGIONALI </w:t>
      </w: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sidRPr="002E236C">
        <w:rPr>
          <w:rFonts w:ascii="Arial" w:eastAsia="Times New Roman" w:hAnsi="Arial" w:cs="Arial"/>
          <w:sz w:val="24"/>
          <w:szCs w:val="24"/>
          <w:lang w:eastAsia="it-IT"/>
        </w:rPr>
        <w:t xml:space="preserve">Fanciulli Giorgio – </w:t>
      </w:r>
      <w:r w:rsidRPr="002E236C">
        <w:rPr>
          <w:rFonts w:ascii="Arial" w:eastAsia="Times New Roman" w:hAnsi="Arial" w:cs="Arial"/>
          <w:color w:val="000000"/>
          <w:sz w:val="24"/>
          <w:szCs w:val="24"/>
          <w:lang w:eastAsia="it-IT"/>
        </w:rPr>
        <w:t xml:space="preserve">Responsabile </w:t>
      </w:r>
      <w:proofErr w:type="gramStart"/>
      <w:r w:rsidRPr="002E236C">
        <w:rPr>
          <w:rFonts w:ascii="Arial" w:eastAsia="Times New Roman" w:hAnsi="Arial" w:cs="Arial"/>
          <w:color w:val="000000"/>
          <w:sz w:val="24"/>
          <w:szCs w:val="24"/>
          <w:lang w:eastAsia="it-IT"/>
        </w:rPr>
        <w:t>Area  Staff</w:t>
      </w:r>
      <w:proofErr w:type="gramEnd"/>
      <w:r w:rsidRPr="002E236C">
        <w:rPr>
          <w:rFonts w:ascii="Arial" w:eastAsia="Times New Roman" w:hAnsi="Arial" w:cs="Arial"/>
          <w:color w:val="000000"/>
          <w:sz w:val="24"/>
          <w:szCs w:val="24"/>
          <w:lang w:eastAsia="it-IT"/>
        </w:rPr>
        <w:t>/Alta specializzazione -  (part-time)</w:t>
      </w: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p>
    <w:p w:rsidR="002E236C" w:rsidRP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sidRPr="002E236C">
        <w:rPr>
          <w:rFonts w:ascii="Arial" w:eastAsia="Times New Roman" w:hAnsi="Arial" w:cs="Arial"/>
          <w:color w:val="000000"/>
          <w:sz w:val="24"/>
          <w:szCs w:val="24"/>
          <w:lang w:eastAsia="it-IT"/>
        </w:rPr>
        <w:t>Si avvale del personale tecnico e amministrativo Area LL.PP.</w:t>
      </w: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712512" behindDoc="0" locked="1" layoutInCell="1" allowOverlap="1">
                <wp:simplePos x="0" y="0"/>
                <wp:positionH relativeFrom="column">
                  <wp:posOffset>2036445</wp:posOffset>
                </wp:positionH>
                <wp:positionV relativeFrom="paragraph">
                  <wp:posOffset>-401320</wp:posOffset>
                </wp:positionV>
                <wp:extent cx="2514600" cy="887730"/>
                <wp:effectExtent l="13335" t="9525" r="5715" b="762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87730"/>
                        </a:xfrm>
                        <a:prstGeom prst="rect">
                          <a:avLst/>
                        </a:prstGeom>
                        <a:solidFill>
                          <a:srgbClr val="FFFFFF"/>
                        </a:solidFill>
                        <a:ln w="9525">
                          <a:solidFill>
                            <a:srgbClr val="000000"/>
                          </a:solidFill>
                          <a:miter lim="800000"/>
                          <a:headEnd/>
                          <a:tailEnd/>
                        </a:ln>
                      </wps:spPr>
                      <wps:txbx>
                        <w:txbxContent>
                          <w:p w:rsidR="001406AD" w:rsidRPr="002744F5" w:rsidRDefault="001406AD" w:rsidP="002E236C">
                            <w:pPr>
                              <w:jc w:val="center"/>
                              <w:rPr>
                                <w:color w:val="FF0000"/>
                              </w:rPr>
                            </w:pPr>
                            <w:r w:rsidRPr="002744F5">
                              <w:rPr>
                                <w:color w:val="FF0000"/>
                              </w:rPr>
                              <w:t>AREA</w:t>
                            </w:r>
                          </w:p>
                          <w:p w:rsidR="001406AD" w:rsidRPr="002744F5" w:rsidRDefault="001406AD" w:rsidP="002E236C">
                            <w:pPr>
                              <w:jc w:val="center"/>
                              <w:rPr>
                                <w:color w:val="FF0000"/>
                              </w:rPr>
                            </w:pPr>
                            <w:r w:rsidRPr="002744F5">
                              <w:rPr>
                                <w:color w:val="FF0000"/>
                              </w:rPr>
                              <w:t>POLIZIA MUNICIPALE</w:t>
                            </w:r>
                          </w:p>
                          <w:p w:rsidR="001406AD" w:rsidRPr="004B5DF9" w:rsidRDefault="001406AD" w:rsidP="002E236C">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8" o:spid="_x0000_s1050" type="#_x0000_t202" style="position:absolute;margin-left:160.35pt;margin-top:-31.6pt;width:198pt;height:69.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">
                <v:textbox>
                  <w:txbxContent>
                    <w:p w:rsidR="001406AD" w:rsidRPr="002744F5" w:rsidRDefault="001406AD" w:rsidP="002E236C">
                      <w:pPr>
                        <w:jc w:val="center"/>
                        <w:rPr>
                          <w:color w:val="FF0000"/>
                        </w:rPr>
                      </w:pPr>
                      <w:r w:rsidRPr="002744F5">
                        <w:rPr>
                          <w:color w:val="FF0000"/>
                        </w:rPr>
                        <w:t>AREA</w:t>
                      </w:r>
                    </w:p>
                    <w:p w:rsidR="001406AD" w:rsidRPr="002744F5" w:rsidRDefault="001406AD" w:rsidP="002E236C">
                      <w:pPr>
                        <w:jc w:val="center"/>
                        <w:rPr>
                          <w:color w:val="FF0000"/>
                        </w:rPr>
                      </w:pPr>
                      <w:r w:rsidRPr="002744F5">
                        <w:rPr>
                          <w:color w:val="FF0000"/>
                        </w:rPr>
                        <w:t>POLIZIA MUNICIPALE</w:t>
                      </w:r>
                    </w:p>
                    <w:p w:rsidR="001406AD" w:rsidRPr="004B5DF9" w:rsidRDefault="001406AD" w:rsidP="002E236C">
                      <w:pPr>
                        <w:jc w:val="center"/>
                        <w:rPr>
                          <w:color w:val="FF0000"/>
                        </w:rPr>
                      </w:pPr>
                    </w:p>
                  </w:txbxContent>
                </v:textbox>
                <w10:anchorlock/>
              </v:shape>
            </w:pict>
          </mc:Fallback>
        </mc:AlternateContent>
      </w: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714560" behindDoc="0" locked="1" layoutInCell="1" allowOverlap="1">
                <wp:simplePos x="0" y="0"/>
                <wp:positionH relativeFrom="column">
                  <wp:posOffset>2171700</wp:posOffset>
                </wp:positionH>
                <wp:positionV relativeFrom="paragraph">
                  <wp:posOffset>1017270</wp:posOffset>
                </wp:positionV>
                <wp:extent cx="990600" cy="0"/>
                <wp:effectExtent l="5715" t="59690" r="22860" b="54610"/>
                <wp:wrapNone/>
                <wp:docPr id="17" name="Connettore 1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19B67" id="Connettore 1 1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1pt" to="249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">
                <v:stroke endarrow="block"/>
                <w10:anchorlock/>
              </v:line>
            </w:pict>
          </mc:Fallback>
        </mc:AlternateContent>
      </w: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683840" behindDoc="0" locked="1" layoutInCell="1" allowOverlap="1">
                <wp:simplePos x="0" y="0"/>
                <wp:positionH relativeFrom="column">
                  <wp:posOffset>3429000</wp:posOffset>
                </wp:positionH>
                <wp:positionV relativeFrom="paragraph">
                  <wp:posOffset>-224155</wp:posOffset>
                </wp:positionV>
                <wp:extent cx="0" cy="1600200"/>
                <wp:effectExtent l="5715" t="7620" r="13335" b="11430"/>
                <wp:wrapNone/>
                <wp:docPr id="16" name="Connettore 1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B85D1" id="Connettore 1 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7.65pt" to="270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">
                <w10:anchorlock/>
              </v:line>
            </w:pict>
          </mc:Fallback>
        </mc:AlternateContent>
      </w:r>
    </w:p>
    <w:p w:rsidR="002E236C" w:rsidRPr="002E236C" w:rsidRDefault="002E236C" w:rsidP="002E236C">
      <w:pPr>
        <w:autoSpaceDE w:val="0"/>
        <w:autoSpaceDN w:val="0"/>
        <w:adjustRightInd w:val="0"/>
        <w:spacing w:after="0" w:line="240" w:lineRule="auto"/>
        <w:ind w:firstLine="5670"/>
        <w:jc w:val="both"/>
        <w:rPr>
          <w:rFonts w:ascii="Verdana" w:eastAsia="Times New Roman" w:hAnsi="Verdana" w:cs="Verdana"/>
          <w:color w:val="FF0000"/>
          <w:sz w:val="20"/>
          <w:szCs w:val="20"/>
          <w:lang w:eastAsia="it-IT"/>
        </w:rPr>
      </w:pPr>
      <w:r w:rsidRPr="002E236C">
        <w:rPr>
          <w:rFonts w:ascii="Verdana" w:eastAsia="Times New Roman" w:hAnsi="Verdana" w:cs="Verdana"/>
          <w:sz w:val="20"/>
          <w:szCs w:val="20"/>
          <w:lang w:eastAsia="it-IT"/>
        </w:rPr>
        <w:t>Polizia Municipale</w:t>
      </w:r>
    </w:p>
    <w:p w:rsidR="002E236C" w:rsidRPr="002E236C" w:rsidRDefault="002E236C" w:rsidP="002E236C">
      <w:pPr>
        <w:autoSpaceDE w:val="0"/>
        <w:autoSpaceDN w:val="0"/>
        <w:adjustRightInd w:val="0"/>
        <w:spacing w:after="0" w:line="240" w:lineRule="auto"/>
        <w:ind w:firstLine="5670"/>
        <w:jc w:val="both"/>
        <w:rPr>
          <w:rFonts w:ascii="Verdana" w:eastAsia="Times New Roman" w:hAnsi="Verdana" w:cs="Verdana"/>
          <w:color w:val="FF0000"/>
          <w:sz w:val="20"/>
          <w:szCs w:val="20"/>
          <w:lang w:eastAsia="it-IT"/>
        </w:rPr>
      </w:pPr>
      <w:r w:rsidRPr="002E236C">
        <w:rPr>
          <w:rFonts w:ascii="Verdana" w:eastAsia="Times New Roman" w:hAnsi="Verdana" w:cs="Verdana"/>
          <w:sz w:val="20"/>
          <w:szCs w:val="20"/>
          <w:lang w:eastAsia="it-IT"/>
        </w:rPr>
        <w:t>Controllo del Traffico</w:t>
      </w:r>
    </w:p>
    <w:p w:rsidR="002E236C" w:rsidRPr="002E236C" w:rsidRDefault="002E236C" w:rsidP="002E236C">
      <w:pPr>
        <w:autoSpaceDE w:val="0"/>
        <w:autoSpaceDN w:val="0"/>
        <w:adjustRightInd w:val="0"/>
        <w:spacing w:after="0" w:line="240" w:lineRule="auto"/>
        <w:ind w:firstLine="5670"/>
        <w:jc w:val="both"/>
        <w:rPr>
          <w:rFonts w:ascii="Verdana" w:eastAsia="Times New Roman" w:hAnsi="Verdana" w:cs="Verdana"/>
          <w:sz w:val="20"/>
          <w:szCs w:val="20"/>
          <w:lang w:eastAsia="it-IT"/>
        </w:rPr>
      </w:pPr>
      <w:r w:rsidRPr="002E236C">
        <w:rPr>
          <w:rFonts w:ascii="Verdana" w:eastAsia="Times New Roman" w:hAnsi="Verdana" w:cs="Verdana"/>
          <w:sz w:val="20"/>
          <w:szCs w:val="20"/>
          <w:lang w:eastAsia="it-IT"/>
        </w:rPr>
        <w:t>Aree di sosta e parcheggi</w:t>
      </w:r>
    </w:p>
    <w:p w:rsidR="002E236C" w:rsidRPr="002E236C" w:rsidRDefault="002E236C" w:rsidP="002E236C">
      <w:pPr>
        <w:autoSpaceDE w:val="0"/>
        <w:autoSpaceDN w:val="0"/>
        <w:adjustRightInd w:val="0"/>
        <w:spacing w:after="0" w:line="240" w:lineRule="auto"/>
        <w:ind w:firstLine="5670"/>
        <w:jc w:val="both"/>
        <w:rPr>
          <w:rFonts w:ascii="Verdana" w:eastAsia="Times New Roman" w:hAnsi="Verdana" w:cs="Verdana"/>
          <w:sz w:val="20"/>
          <w:szCs w:val="20"/>
          <w:lang w:eastAsia="it-IT"/>
        </w:rPr>
      </w:pPr>
      <w:r w:rsidRPr="002E236C">
        <w:rPr>
          <w:rFonts w:ascii="Verdana" w:eastAsia="Times New Roman" w:hAnsi="Verdana" w:cs="Verdana"/>
          <w:sz w:val="20"/>
          <w:szCs w:val="20"/>
          <w:lang w:eastAsia="it-IT"/>
        </w:rPr>
        <w:t xml:space="preserve">Controlli Edilizia </w:t>
      </w:r>
    </w:p>
    <w:p w:rsidR="002E236C" w:rsidRPr="002E236C" w:rsidRDefault="002E236C" w:rsidP="002E236C">
      <w:pPr>
        <w:autoSpaceDE w:val="0"/>
        <w:autoSpaceDN w:val="0"/>
        <w:adjustRightInd w:val="0"/>
        <w:spacing w:after="0" w:line="240" w:lineRule="auto"/>
        <w:ind w:firstLine="5670"/>
        <w:jc w:val="both"/>
        <w:rPr>
          <w:rFonts w:ascii="Verdana" w:eastAsia="Times New Roman" w:hAnsi="Verdana" w:cs="Verdana"/>
          <w:sz w:val="20"/>
          <w:szCs w:val="20"/>
          <w:lang w:eastAsia="it-IT"/>
        </w:rPr>
      </w:pPr>
      <w:r w:rsidRPr="002E236C">
        <w:rPr>
          <w:rFonts w:ascii="Verdana" w:eastAsia="Times New Roman" w:hAnsi="Verdana" w:cs="Verdana"/>
          <w:sz w:val="20"/>
          <w:szCs w:val="20"/>
          <w:lang w:eastAsia="it-IT"/>
        </w:rPr>
        <w:t>Controlli amministrativi vari</w:t>
      </w:r>
    </w:p>
    <w:p w:rsidR="002E236C" w:rsidRPr="002E236C" w:rsidRDefault="002E236C" w:rsidP="002E236C">
      <w:pPr>
        <w:autoSpaceDE w:val="0"/>
        <w:autoSpaceDN w:val="0"/>
        <w:adjustRightInd w:val="0"/>
        <w:spacing w:after="0" w:line="240" w:lineRule="auto"/>
        <w:ind w:firstLine="5670"/>
        <w:jc w:val="both"/>
        <w:rPr>
          <w:rFonts w:ascii="Verdana" w:eastAsia="Times New Roman" w:hAnsi="Verdana" w:cs="Verdana"/>
          <w:sz w:val="20"/>
          <w:szCs w:val="20"/>
          <w:lang w:eastAsia="it-IT"/>
        </w:rPr>
      </w:pPr>
      <w:r w:rsidRPr="002E236C">
        <w:rPr>
          <w:rFonts w:ascii="Verdana" w:eastAsia="Times New Roman" w:hAnsi="Verdana" w:cs="Verdana"/>
          <w:sz w:val="20"/>
          <w:szCs w:val="20"/>
          <w:lang w:eastAsia="it-IT"/>
        </w:rPr>
        <w:t>Attività Amministrativa</w:t>
      </w: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0"/>
          <w:szCs w:val="20"/>
          <w:lang w:eastAsia="it-IT"/>
        </w:rPr>
      </w:pPr>
      <w:r w:rsidRPr="002E236C">
        <w:rPr>
          <w:rFonts w:ascii="Verdana" w:eastAsia="Times New Roman" w:hAnsi="Verdana" w:cs="Verdana"/>
          <w:noProof/>
          <w:sz w:val="24"/>
          <w:szCs w:val="24"/>
          <w:lang w:eastAsia="it-IT"/>
        </w:rPr>
        <mc:AlternateContent>
          <mc:Choice Requires="wps">
            <w:drawing>
              <wp:anchor distT="0" distB="0" distL="114300" distR="114300" simplePos="0" relativeHeight="251713536" behindDoc="0" locked="1" layoutInCell="1" allowOverlap="1">
                <wp:simplePos x="0" y="0"/>
                <wp:positionH relativeFrom="column">
                  <wp:posOffset>-97155</wp:posOffset>
                </wp:positionH>
                <wp:positionV relativeFrom="paragraph">
                  <wp:posOffset>-746760</wp:posOffset>
                </wp:positionV>
                <wp:extent cx="2057400" cy="457200"/>
                <wp:effectExtent l="13335" t="5715" r="5715" b="13335"/>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1406AD" w:rsidRDefault="001406AD" w:rsidP="002E236C">
                            <w:pPr>
                              <w:jc w:val="center"/>
                            </w:pPr>
                            <w:r>
                              <w:rPr>
                                <w:color w:val="FF0000"/>
                                <w:sz w:val="20"/>
                                <w:szCs w:val="20"/>
                              </w:rPr>
                              <w:t>POLIZIA MUNICIPALE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5" o:spid="_x0000_s1051" type="#_x0000_t202" style="position:absolute;left:0;text-align:left;margin-left:-7.65pt;margin-top:-58.8pt;width:162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">
                <v:textbox>
                  <w:txbxContent>
                    <w:p w:rsidR="001406AD" w:rsidRDefault="001406AD" w:rsidP="002E236C">
                      <w:pPr>
                        <w:jc w:val="center"/>
                      </w:pPr>
                      <w:r>
                        <w:rPr>
                          <w:color w:val="FF0000"/>
                          <w:sz w:val="20"/>
                          <w:szCs w:val="20"/>
                        </w:rPr>
                        <w:t>POLIZIA MUNICIPALE *</w:t>
                      </w:r>
                    </w:p>
                  </w:txbxContent>
                </v:textbox>
                <w10:anchorlock/>
              </v:shape>
            </w:pict>
          </mc:Fallback>
        </mc:AlternateContent>
      </w: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0"/>
          <w:szCs w:val="20"/>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0"/>
          <w:szCs w:val="20"/>
          <w:lang w:eastAsia="it-IT"/>
        </w:rPr>
      </w:pPr>
    </w:p>
    <w:p w:rsidR="002E236C" w:rsidRPr="002E236C" w:rsidRDefault="002E236C" w:rsidP="002E236C">
      <w:pPr>
        <w:autoSpaceDE w:val="0"/>
        <w:autoSpaceDN w:val="0"/>
        <w:adjustRightInd w:val="0"/>
        <w:spacing w:after="0" w:line="240" w:lineRule="auto"/>
        <w:rPr>
          <w:rFonts w:ascii="Verdana" w:eastAsia="Times New Roman" w:hAnsi="Verdana" w:cs="Verdana"/>
          <w:sz w:val="24"/>
          <w:szCs w:val="24"/>
          <w:lang w:eastAsia="it-IT"/>
        </w:rPr>
      </w:pPr>
      <w:r w:rsidRPr="002E236C">
        <w:rPr>
          <w:rFonts w:ascii="Verdana" w:eastAsia="Times New Roman" w:hAnsi="Verdana" w:cs="Verdana"/>
          <w:sz w:val="24"/>
          <w:szCs w:val="24"/>
          <w:lang w:eastAsia="it-IT"/>
        </w:rPr>
        <w:t xml:space="preserve">* Servizio Associato - personale in assegnazione funzionale presso Unione dei Comuni </w:t>
      </w:r>
      <w:proofErr w:type="spellStart"/>
      <w:r w:rsidRPr="002E236C">
        <w:rPr>
          <w:rFonts w:ascii="Verdana" w:eastAsia="Times New Roman" w:hAnsi="Verdana" w:cs="Verdana"/>
          <w:sz w:val="24"/>
          <w:szCs w:val="24"/>
          <w:lang w:eastAsia="it-IT"/>
        </w:rPr>
        <w:t>Valdichiana</w:t>
      </w:r>
      <w:proofErr w:type="spellEnd"/>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0"/>
          <w:szCs w:val="20"/>
          <w:lang w:eastAsia="it-IT"/>
        </w:rPr>
      </w:pPr>
    </w:p>
    <w:p w:rsidR="002E236C" w:rsidRPr="002E236C" w:rsidRDefault="002E236C" w:rsidP="002E236C">
      <w:pPr>
        <w:autoSpaceDE w:val="0"/>
        <w:autoSpaceDN w:val="0"/>
        <w:adjustRightInd w:val="0"/>
        <w:spacing w:after="0" w:line="240" w:lineRule="auto"/>
        <w:jc w:val="both"/>
        <w:rPr>
          <w:rFonts w:ascii="Verdana" w:eastAsia="Times New Roman" w:hAnsi="Verdana" w:cs="Verdana"/>
          <w:color w:val="000000"/>
          <w:sz w:val="24"/>
          <w:szCs w:val="24"/>
          <w:lang w:eastAsia="it-IT"/>
        </w:rPr>
      </w:pPr>
      <w:r w:rsidRPr="002E236C">
        <w:rPr>
          <w:rFonts w:ascii="Verdana" w:eastAsia="Times New Roman" w:hAnsi="Verdana" w:cs="Verdana"/>
          <w:sz w:val="24"/>
          <w:szCs w:val="24"/>
          <w:lang w:eastAsia="it-IT"/>
        </w:rPr>
        <w:t xml:space="preserve">Duchini Giannetto – </w:t>
      </w:r>
      <w:r w:rsidRPr="002E236C">
        <w:rPr>
          <w:rFonts w:ascii="Verdana" w:eastAsia="Times New Roman" w:hAnsi="Verdana" w:cs="Verdana"/>
          <w:color w:val="000000"/>
          <w:sz w:val="24"/>
          <w:szCs w:val="24"/>
          <w:lang w:eastAsia="it-IT"/>
        </w:rPr>
        <w:t>Responsabile Area</w:t>
      </w: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4"/>
          <w:szCs w:val="24"/>
          <w:lang w:eastAsia="it-IT"/>
        </w:rPr>
      </w:pPr>
      <w:proofErr w:type="spellStart"/>
      <w:r w:rsidRPr="002E236C">
        <w:rPr>
          <w:rFonts w:ascii="Verdana" w:eastAsia="Times New Roman" w:hAnsi="Verdana" w:cs="Verdana"/>
          <w:sz w:val="24"/>
          <w:szCs w:val="24"/>
          <w:lang w:eastAsia="it-IT"/>
        </w:rPr>
        <w:t>Batignani</w:t>
      </w:r>
      <w:proofErr w:type="spellEnd"/>
      <w:r w:rsidRPr="002E236C">
        <w:rPr>
          <w:rFonts w:ascii="Verdana" w:eastAsia="Times New Roman" w:hAnsi="Verdana" w:cs="Verdana"/>
          <w:sz w:val="24"/>
          <w:szCs w:val="24"/>
          <w:lang w:eastAsia="it-IT"/>
        </w:rPr>
        <w:t xml:space="preserve"> Luca (Particolare Posizione)</w:t>
      </w: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4"/>
          <w:szCs w:val="24"/>
          <w:lang w:eastAsia="it-IT"/>
        </w:rPr>
      </w:pPr>
      <w:proofErr w:type="spellStart"/>
      <w:r w:rsidRPr="002E236C">
        <w:rPr>
          <w:rFonts w:ascii="Verdana" w:eastAsia="Times New Roman" w:hAnsi="Verdana" w:cs="Verdana"/>
          <w:sz w:val="24"/>
          <w:szCs w:val="24"/>
          <w:lang w:eastAsia="it-IT"/>
        </w:rPr>
        <w:t>Batazzi</w:t>
      </w:r>
      <w:proofErr w:type="spellEnd"/>
      <w:r w:rsidRPr="002E236C">
        <w:rPr>
          <w:rFonts w:ascii="Verdana" w:eastAsia="Times New Roman" w:hAnsi="Verdana" w:cs="Verdana"/>
          <w:sz w:val="24"/>
          <w:szCs w:val="24"/>
          <w:lang w:eastAsia="it-IT"/>
        </w:rPr>
        <w:t xml:space="preserve"> Lisa</w:t>
      </w: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4"/>
          <w:szCs w:val="24"/>
          <w:lang w:eastAsia="it-IT"/>
        </w:rPr>
      </w:pPr>
      <w:r w:rsidRPr="002E236C">
        <w:rPr>
          <w:rFonts w:ascii="Verdana" w:eastAsia="Times New Roman" w:hAnsi="Verdana" w:cs="Verdana"/>
          <w:sz w:val="24"/>
          <w:szCs w:val="24"/>
          <w:lang w:eastAsia="it-IT"/>
        </w:rPr>
        <w:t>Liberatori Catia</w:t>
      </w: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4"/>
          <w:szCs w:val="24"/>
          <w:lang w:eastAsia="it-IT"/>
        </w:rPr>
      </w:pPr>
      <w:proofErr w:type="spellStart"/>
      <w:r w:rsidRPr="002E236C">
        <w:rPr>
          <w:rFonts w:ascii="Verdana" w:eastAsia="Times New Roman" w:hAnsi="Verdana" w:cs="Verdana"/>
          <w:sz w:val="24"/>
          <w:szCs w:val="24"/>
          <w:lang w:eastAsia="it-IT"/>
        </w:rPr>
        <w:t>Coccoletti</w:t>
      </w:r>
      <w:proofErr w:type="spellEnd"/>
      <w:r w:rsidRPr="002E236C">
        <w:rPr>
          <w:rFonts w:ascii="Verdana" w:eastAsia="Times New Roman" w:hAnsi="Verdana" w:cs="Verdana"/>
          <w:sz w:val="24"/>
          <w:szCs w:val="24"/>
          <w:lang w:eastAsia="it-IT"/>
        </w:rPr>
        <w:t xml:space="preserve"> Sabrina</w:t>
      </w: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4"/>
          <w:szCs w:val="24"/>
          <w:lang w:eastAsia="it-IT"/>
        </w:rPr>
      </w:pPr>
      <w:r w:rsidRPr="002E236C">
        <w:rPr>
          <w:rFonts w:ascii="Verdana" w:eastAsia="Times New Roman" w:hAnsi="Verdana" w:cs="Verdana"/>
          <w:sz w:val="24"/>
          <w:szCs w:val="24"/>
          <w:lang w:eastAsia="it-IT"/>
        </w:rPr>
        <w:t>Martire Bruno</w:t>
      </w: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4"/>
          <w:szCs w:val="24"/>
          <w:lang w:eastAsia="it-IT"/>
        </w:rPr>
      </w:pPr>
      <w:r w:rsidRPr="002E236C">
        <w:rPr>
          <w:rFonts w:ascii="Verdana" w:eastAsia="Times New Roman" w:hAnsi="Verdana" w:cs="Verdana"/>
          <w:sz w:val="24"/>
          <w:szCs w:val="24"/>
          <w:lang w:eastAsia="it-IT"/>
        </w:rPr>
        <w:t>Massai Riccardo</w:t>
      </w: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4"/>
          <w:szCs w:val="24"/>
          <w:lang w:eastAsia="it-IT"/>
        </w:rPr>
      </w:pPr>
      <w:proofErr w:type="spellStart"/>
      <w:r w:rsidRPr="002E236C">
        <w:rPr>
          <w:rFonts w:ascii="Verdana" w:eastAsia="Times New Roman" w:hAnsi="Verdana" w:cs="Verdana"/>
          <w:sz w:val="24"/>
          <w:szCs w:val="24"/>
          <w:lang w:eastAsia="it-IT"/>
        </w:rPr>
        <w:t>Panichi</w:t>
      </w:r>
      <w:proofErr w:type="spellEnd"/>
      <w:r w:rsidRPr="002E236C">
        <w:rPr>
          <w:rFonts w:ascii="Verdana" w:eastAsia="Times New Roman" w:hAnsi="Verdana" w:cs="Verdana"/>
          <w:sz w:val="24"/>
          <w:szCs w:val="24"/>
          <w:lang w:eastAsia="it-IT"/>
        </w:rPr>
        <w:t xml:space="preserve"> Paola</w:t>
      </w: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4"/>
          <w:szCs w:val="24"/>
          <w:lang w:eastAsia="it-IT"/>
        </w:rPr>
      </w:pPr>
      <w:proofErr w:type="spellStart"/>
      <w:r w:rsidRPr="002E236C">
        <w:rPr>
          <w:rFonts w:ascii="Verdana" w:eastAsia="Times New Roman" w:hAnsi="Verdana" w:cs="Verdana"/>
          <w:sz w:val="24"/>
          <w:szCs w:val="24"/>
          <w:lang w:eastAsia="it-IT"/>
        </w:rPr>
        <w:t>Verrazzani</w:t>
      </w:r>
      <w:proofErr w:type="spellEnd"/>
      <w:r w:rsidRPr="002E236C">
        <w:rPr>
          <w:rFonts w:ascii="Verdana" w:eastAsia="Times New Roman" w:hAnsi="Verdana" w:cs="Verdana"/>
          <w:sz w:val="24"/>
          <w:szCs w:val="24"/>
          <w:lang w:eastAsia="it-IT"/>
        </w:rPr>
        <w:t xml:space="preserve"> Marco</w:t>
      </w:r>
    </w:p>
    <w:p w:rsidR="002E236C" w:rsidRPr="002E236C" w:rsidRDefault="002E236C" w:rsidP="002E236C">
      <w:pPr>
        <w:autoSpaceDE w:val="0"/>
        <w:autoSpaceDN w:val="0"/>
        <w:adjustRightInd w:val="0"/>
        <w:spacing w:after="0" w:line="240" w:lineRule="auto"/>
        <w:jc w:val="both"/>
        <w:rPr>
          <w:rFonts w:ascii="Verdana" w:eastAsia="Times New Roman" w:hAnsi="Verdana" w:cs="Verdana"/>
          <w:sz w:val="24"/>
          <w:szCs w:val="24"/>
          <w:lang w:eastAsia="it-IT"/>
        </w:rPr>
      </w:pPr>
      <w:r w:rsidRPr="002E236C">
        <w:rPr>
          <w:rFonts w:ascii="Verdana" w:eastAsia="Times New Roman" w:hAnsi="Verdana" w:cs="Verdana"/>
          <w:sz w:val="24"/>
          <w:szCs w:val="24"/>
          <w:lang w:eastAsia="it-IT"/>
        </w:rPr>
        <w:t>Zacchei Susanna</w:t>
      </w:r>
    </w:p>
    <w:p w:rsidR="002E236C" w:rsidRDefault="002E236C"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sidRPr="002E236C">
        <w:rPr>
          <w:rFonts w:ascii="Verdana" w:eastAsia="Times New Roman" w:hAnsi="Verdana" w:cs="Verdana"/>
          <w:sz w:val="24"/>
          <w:szCs w:val="24"/>
          <w:lang w:eastAsia="it-IT"/>
        </w:rPr>
        <w:t xml:space="preserve">3 Istruttori di vigilanza mesi 5 cad. per punte di stagionalità </w:t>
      </w:r>
      <w:r w:rsidRPr="002E236C">
        <w:rPr>
          <w:rFonts w:ascii="Arial" w:eastAsia="Times New Roman" w:hAnsi="Arial" w:cs="Arial"/>
          <w:color w:val="000000"/>
          <w:sz w:val="24"/>
          <w:szCs w:val="24"/>
          <w:lang w:eastAsia="it-IT"/>
        </w:rPr>
        <w:t xml:space="preserve">(v. piano </w:t>
      </w:r>
      <w:proofErr w:type="spellStart"/>
      <w:r w:rsidRPr="002E236C">
        <w:rPr>
          <w:rFonts w:ascii="Arial" w:eastAsia="Times New Roman" w:hAnsi="Arial" w:cs="Arial"/>
          <w:color w:val="000000"/>
          <w:sz w:val="24"/>
          <w:szCs w:val="24"/>
          <w:lang w:eastAsia="it-IT"/>
        </w:rPr>
        <w:t>assunzionale</w:t>
      </w:r>
      <w:proofErr w:type="spellEnd"/>
      <w:r w:rsidRPr="002E236C">
        <w:rPr>
          <w:rFonts w:ascii="Arial" w:eastAsia="Times New Roman" w:hAnsi="Arial" w:cs="Arial"/>
          <w:color w:val="000000"/>
          <w:sz w:val="24"/>
          <w:szCs w:val="24"/>
          <w:lang w:eastAsia="it-IT"/>
        </w:rPr>
        <w:t xml:space="preserve"> 2016)</w:t>
      </w:r>
    </w:p>
    <w:p w:rsidR="00652E8B" w:rsidRDefault="00652E8B"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lastRenderedPageBreak/>
        <w:t>Il quadro organizzativo sopra riportato fa riferimento al PEG 2016 predisposto in formato FOIA. L’organizzazione è in fase di aggiornamento dopo l’approvazione del PEG sulla base del convenzionamento di servizi vari fra il Comune di Montepulciano e il Comune di Torrita di Siena.</w:t>
      </w:r>
    </w:p>
    <w:p w:rsidR="00652E8B" w:rsidRDefault="00652E8B"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Il contesto interno si caratterizza per la crescita della cultura di prevenzione della corruzione e per gli adempimenti per la trasparenza. Il Comune ha organizzato apposita “Giornata” dedicata alla formazione sulle materie anzidette, nel dicembre 2016. </w:t>
      </w:r>
    </w:p>
    <w:p w:rsidR="00652E8B" w:rsidRDefault="00652E8B"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La struttura è fondamentalmente sana con relazioni organizzative improntate ad un rilevante clima fiduciario e prevalenza di collaborazione con forte connotato personale.</w:t>
      </w:r>
    </w:p>
    <w:p w:rsidR="00652E8B" w:rsidRDefault="00652E8B" w:rsidP="002E236C">
      <w:pPr>
        <w:autoSpaceDE w:val="0"/>
        <w:autoSpaceDN w:val="0"/>
        <w:adjustRightInd w:val="0"/>
        <w:spacing w:after="0" w:line="240" w:lineRule="auto"/>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Si registrano difficoltà legate al rapporto con il gestore informatico che fa riferimento alla struttura dell’Unione dei Comuni con spazi di inefficienza e di incertezza che talvolta rendono problematico il lavoro professionale. I documenti non sono ancora disponibili in formato </w:t>
      </w:r>
      <w:r w:rsidR="000A3ABF">
        <w:rPr>
          <w:rFonts w:ascii="Arial" w:eastAsia="Times New Roman" w:hAnsi="Arial" w:cs="Arial"/>
          <w:color w:val="000000"/>
          <w:sz w:val="24"/>
          <w:szCs w:val="24"/>
          <w:lang w:eastAsia="it-IT"/>
        </w:rPr>
        <w:t xml:space="preserve">di accessibilità ed utilizzabilità e l’area Amministrazione Trasparente presenta spazi di ampio miglioramento sia sotto il profilo della esatta inserzione delle voci interessate sia dal punto di vista della qualità del dato prodotto. Le interazioni con gli interessati “esterni” rivelano una scarsa attitudine nei riguardi degli uffici e servizi comunali con carenza di stimoli sul piano competitivo. L’amministrazione sviluppa il proprio ruolo in modo significativo sul versante del turismo e della qualità ambientale con relazioni sul piano nazionale ed internazionale di indubbio valore ed una crescita anche in termini di redditività degna di menzione. La legalità è valore acquisito nel lavoro degli uffici e sotto il profilo procedurale non si registrano condizioni ostative, anche per l’attenzione degli Organi di Governo nella conduzione complessiva dell’Ente. Prevalgono elementi tradizionali che potranno essere oggetto, nel futuro, di migliore organizzazione e professionalizzazione ma che determinano uno stato di correttezza e una fondamentale attenzione ai valori della trasparenza e del </w:t>
      </w:r>
      <w:proofErr w:type="gramStart"/>
      <w:r w:rsidR="000A3ABF">
        <w:rPr>
          <w:rFonts w:ascii="Arial" w:eastAsia="Times New Roman" w:hAnsi="Arial" w:cs="Arial"/>
          <w:color w:val="000000"/>
          <w:sz w:val="24"/>
          <w:szCs w:val="24"/>
          <w:lang w:eastAsia="it-IT"/>
        </w:rPr>
        <w:t>controllo ,</w:t>
      </w:r>
      <w:proofErr w:type="gramEnd"/>
      <w:r w:rsidR="000A3ABF">
        <w:rPr>
          <w:rFonts w:ascii="Arial" w:eastAsia="Times New Roman" w:hAnsi="Arial" w:cs="Arial"/>
          <w:color w:val="000000"/>
          <w:sz w:val="24"/>
          <w:szCs w:val="24"/>
          <w:lang w:eastAsia="it-IT"/>
        </w:rPr>
        <w:t xml:space="preserve"> entro un quadro generale positivo e rispettoso della Legge. </w:t>
      </w:r>
      <w:r>
        <w:rPr>
          <w:rFonts w:ascii="Arial" w:eastAsia="Times New Roman" w:hAnsi="Arial" w:cs="Arial"/>
          <w:color w:val="000000"/>
          <w:sz w:val="24"/>
          <w:szCs w:val="24"/>
          <w:lang w:eastAsia="it-IT"/>
        </w:rPr>
        <w:t xml:space="preserve"> </w:t>
      </w:r>
    </w:p>
    <w:p w:rsidR="00652E8B" w:rsidRDefault="00652E8B" w:rsidP="002E236C">
      <w:pPr>
        <w:autoSpaceDE w:val="0"/>
        <w:autoSpaceDN w:val="0"/>
        <w:adjustRightInd w:val="0"/>
        <w:spacing w:after="0" w:line="240" w:lineRule="auto"/>
        <w:jc w:val="both"/>
        <w:rPr>
          <w:rFonts w:ascii="Arial" w:eastAsia="Times New Roman" w:hAnsi="Arial" w:cs="Arial"/>
          <w:color w:val="000000"/>
          <w:sz w:val="24"/>
          <w:szCs w:val="24"/>
          <w:lang w:eastAsia="it-IT"/>
        </w:rPr>
      </w:pPr>
    </w:p>
    <w:p w:rsidR="00652E8B" w:rsidRPr="002E236C" w:rsidRDefault="00652E8B" w:rsidP="002E236C">
      <w:pPr>
        <w:autoSpaceDE w:val="0"/>
        <w:autoSpaceDN w:val="0"/>
        <w:adjustRightInd w:val="0"/>
        <w:spacing w:after="0" w:line="240" w:lineRule="auto"/>
        <w:jc w:val="both"/>
        <w:rPr>
          <w:rFonts w:ascii="Arial" w:eastAsia="Times New Roman" w:hAnsi="Arial" w:cs="Arial"/>
          <w:color w:val="000000"/>
          <w:sz w:val="24"/>
          <w:szCs w:val="24"/>
          <w:lang w:eastAsia="it-IT"/>
        </w:rPr>
      </w:pPr>
    </w:p>
    <w:p w:rsidR="00B934F9" w:rsidRDefault="00B934F9" w:rsidP="00B934F9">
      <w:pPr>
        <w:jc w:val="both"/>
        <w:rPr>
          <w:rFonts w:ascii="Kristen ITC" w:hAnsi="Kristen ITC"/>
          <w:sz w:val="24"/>
          <w:szCs w:val="24"/>
        </w:rPr>
      </w:pPr>
      <w:r>
        <w:rPr>
          <w:rFonts w:ascii="Kristen ITC" w:hAnsi="Kristen ITC"/>
          <w:sz w:val="24"/>
          <w:szCs w:val="24"/>
        </w:rPr>
        <w:t xml:space="preserve">Contesto esterno e ruolo dei portatori di interesse – Delibera </w:t>
      </w:r>
      <w:proofErr w:type="spellStart"/>
      <w:r>
        <w:rPr>
          <w:rFonts w:ascii="Kristen ITC" w:hAnsi="Kristen ITC"/>
          <w:sz w:val="24"/>
          <w:szCs w:val="24"/>
        </w:rPr>
        <w:t>Anac</w:t>
      </w:r>
      <w:proofErr w:type="spellEnd"/>
      <w:r>
        <w:rPr>
          <w:rFonts w:ascii="Kristen ITC" w:hAnsi="Kristen ITC"/>
          <w:sz w:val="24"/>
          <w:szCs w:val="24"/>
        </w:rPr>
        <w:t xml:space="preserve"> n. 12/2015</w:t>
      </w:r>
      <w:r w:rsidR="00107735">
        <w:rPr>
          <w:rFonts w:ascii="Kristen ITC" w:hAnsi="Kristen ITC"/>
          <w:sz w:val="24"/>
          <w:szCs w:val="24"/>
        </w:rPr>
        <w:t xml:space="preserve"> – </w:t>
      </w:r>
      <w:r w:rsidR="00107735" w:rsidRPr="00652E8B">
        <w:rPr>
          <w:rFonts w:ascii="Kristen ITC" w:hAnsi="Kristen ITC"/>
          <w:b/>
          <w:sz w:val="24"/>
          <w:szCs w:val="24"/>
        </w:rPr>
        <w:t>Riferimento relazione della Provincia di Siena</w:t>
      </w:r>
      <w:r w:rsidR="00107735">
        <w:rPr>
          <w:rFonts w:ascii="Kristen ITC" w:hAnsi="Kristen ITC"/>
          <w:sz w:val="24"/>
          <w:szCs w:val="24"/>
        </w:rPr>
        <w:t xml:space="preserve"> che si riporta:</w:t>
      </w:r>
    </w:p>
    <w:p w:rsidR="00107735" w:rsidRPr="00A029B7" w:rsidRDefault="00107735" w:rsidP="00107735">
      <w:pPr>
        <w:jc w:val="both"/>
        <w:rPr>
          <w:rFonts w:ascii="Times New Roman" w:hAnsi="Times New Roman"/>
          <w:b/>
          <w:bCs/>
          <w:color w:val="000000"/>
          <w:spacing w:val="-1"/>
          <w:sz w:val="24"/>
          <w:szCs w:val="24"/>
        </w:rPr>
      </w:pPr>
      <w:r w:rsidRPr="00A029B7">
        <w:rPr>
          <w:rFonts w:ascii="Times New Roman" w:hAnsi="Times New Roman"/>
          <w:b/>
          <w:bCs/>
          <w:color w:val="000000"/>
          <w:spacing w:val="-1"/>
          <w:sz w:val="24"/>
          <w:szCs w:val="24"/>
        </w:rPr>
        <w:t>Il contesto esterno</w:t>
      </w:r>
      <w:r>
        <w:rPr>
          <w:rFonts w:ascii="Times New Roman" w:hAnsi="Times New Roman"/>
          <w:b/>
          <w:bCs/>
          <w:color w:val="000000"/>
          <w:spacing w:val="-1"/>
          <w:sz w:val="24"/>
          <w:szCs w:val="24"/>
        </w:rPr>
        <w:t xml:space="preserve">: analisi </w:t>
      </w:r>
    </w:p>
    <w:p w:rsidR="00107735" w:rsidRDefault="00107735" w:rsidP="00107735">
      <w:pPr>
        <w:jc w:val="both"/>
      </w:pPr>
      <w:r w:rsidRPr="000C2581">
        <w:t>Per l'analisi del contesto esterno si è tenuto c</w:t>
      </w:r>
      <w:r>
        <w:t>onto d</w:t>
      </w:r>
      <w:r w:rsidRPr="000C2581">
        <w:t xml:space="preserve">ella </w:t>
      </w:r>
      <w:r w:rsidRPr="00BC1118">
        <w:rPr>
          <w:b/>
        </w:rPr>
        <w:t>“Relazione sull'attività delle Forze di Polizia, sullo stato dell'ordine e della sicurezza pubblica e sulla criminalità organizzata (anno 2014)”</w:t>
      </w:r>
      <w:r>
        <w:t xml:space="preserve"> trasmessa</w:t>
      </w:r>
      <w:r w:rsidRPr="000C2581">
        <w:t xml:space="preserve"> dal Ministro dell'Interno alla Camera dei Deputati in data </w:t>
      </w:r>
      <w:smartTag w:uri="urn:schemas-microsoft-com:office:smarttags" w:element="date">
        <w:smartTagPr>
          <w:attr w:name="Year" w:val="2016"/>
          <w:attr w:name="Day" w:val="14"/>
          <w:attr w:name="Month" w:val="1"/>
          <w:attr w:name="ls" w:val="trans"/>
        </w:smartTagPr>
        <w:r>
          <w:t>14 gennaio 2016</w:t>
        </w:r>
      </w:smartTag>
      <w:r>
        <w:t xml:space="preserve"> e disponibile alla pagina web: </w:t>
      </w:r>
      <w:hyperlink r:id="rId13" w:history="1">
        <w:r w:rsidRPr="0077537C">
          <w:rPr>
            <w:rStyle w:val="Collegamentoipertestuale"/>
          </w:rPr>
          <w:t>http://www.camera.it/leg17/494?idLegislatura=17&amp;categoria=038&amp;</w:t>
        </w:r>
      </w:hyperlink>
      <w:r w:rsidRPr="000C2581">
        <w:t>laddove a partire dalla pag. 58</w:t>
      </w:r>
      <w:r>
        <w:t xml:space="preserve">8 </w:t>
      </w:r>
      <w:r w:rsidRPr="000C2581">
        <w:t xml:space="preserve">viene analizzata la situazione relativa al tessuto economico-sociale della </w:t>
      </w:r>
      <w:r>
        <w:t xml:space="preserve">provincia di Siena. </w:t>
      </w:r>
    </w:p>
    <w:p w:rsidR="00107735" w:rsidRDefault="00107735" w:rsidP="00107735">
      <w:pPr>
        <w:jc w:val="both"/>
      </w:pPr>
      <w:r>
        <w:t>Da detta Relazione emerge quanto di seguito riportato:</w:t>
      </w:r>
    </w:p>
    <w:p w:rsidR="00107735" w:rsidRPr="009560AD" w:rsidRDefault="00107735" w:rsidP="00107735">
      <w:pPr>
        <w:jc w:val="both"/>
        <w:rPr>
          <w:i/>
        </w:rPr>
      </w:pPr>
      <w:r>
        <w:t>“</w:t>
      </w:r>
      <w:r w:rsidRPr="009560AD">
        <w:rPr>
          <w:i/>
        </w:rPr>
        <w:t xml:space="preserve">La provincia di Siena è caratterizzata da un'economia fortemente basata sull'agricoltura, il turismo e l'indotto ricettivo ad esso collegato. Tra i settori maggiormente sviluppati nella provincia vi è quello bancario, con il più grande partnership locale, quale il Monte dei Paschi di Siena. </w:t>
      </w:r>
    </w:p>
    <w:p w:rsidR="00107735" w:rsidRPr="009560AD" w:rsidRDefault="00107735" w:rsidP="00107735">
      <w:pPr>
        <w:jc w:val="both"/>
        <w:rPr>
          <w:i/>
        </w:rPr>
      </w:pPr>
      <w:r w:rsidRPr="009560AD">
        <w:rPr>
          <w:i/>
        </w:rPr>
        <w:t xml:space="preserve">Nel territorio non si registra il radicamento di organizzazioni criminali di tipo mafioso, tuttavia, non si escludono presenze di soggetti collegati alla criminalità organizzata autoctona che gravitano nella provincia o vi si sono insediati con l'intenzione di coltivare interessi economici od effettuare investimenti. </w:t>
      </w:r>
    </w:p>
    <w:p w:rsidR="00107735" w:rsidRPr="009560AD" w:rsidRDefault="00107735" w:rsidP="00107735">
      <w:pPr>
        <w:jc w:val="both"/>
        <w:rPr>
          <w:i/>
        </w:rPr>
      </w:pPr>
      <w:r w:rsidRPr="009560AD">
        <w:rPr>
          <w:i/>
        </w:rPr>
        <w:lastRenderedPageBreak/>
        <w:t>Nella provincia risultano investimenti ed insediamenti da parte di soggetti organici o, comunque, legati alle organizzazioni criminali di tipo mafioso riconducibili ai "casalesi" a Chianciano Terme ed a clan legati alla Camorra  stabiese a Piancastagnaio.</w:t>
      </w:r>
    </w:p>
    <w:p w:rsidR="00107735" w:rsidRPr="009560AD" w:rsidRDefault="00107735" w:rsidP="00107735">
      <w:pPr>
        <w:jc w:val="both"/>
        <w:rPr>
          <w:i/>
        </w:rPr>
      </w:pPr>
      <w:r w:rsidRPr="009560AD">
        <w:rPr>
          <w:i/>
        </w:rPr>
        <w:t xml:space="preserve"> Tra le attività svolte nel territorio senese, si segnala il sequestro di beni, eseguito il </w:t>
      </w:r>
      <w:smartTag w:uri="urn:schemas-microsoft-com:office:smarttags" w:element="phone">
        <w:smartTagPr>
          <w:attr w:name="ls" w:val="trans"/>
        </w:smartTagPr>
        <w:r w:rsidRPr="009560AD">
          <w:rPr>
            <w:i/>
          </w:rPr>
          <w:t>4 febbraio 2014</w:t>
        </w:r>
      </w:smartTag>
      <w:r w:rsidRPr="009560AD">
        <w:rPr>
          <w:i/>
        </w:rPr>
        <w:t xml:space="preserve">, nel comune di </w:t>
      </w:r>
      <w:proofErr w:type="spellStart"/>
      <w:r w:rsidRPr="009560AD">
        <w:rPr>
          <w:i/>
        </w:rPr>
        <w:t>Sarteno</w:t>
      </w:r>
      <w:proofErr w:type="spellEnd"/>
      <w:r w:rsidRPr="009560AD">
        <w:rPr>
          <w:i/>
        </w:rPr>
        <w:t xml:space="preserve"> (SI), nell'ambito di un procedimento penale della Direzione Distrettuale Antimafia di Napoli, di 18 cavalli da corsa. Il provvedimento è stato eseguito nell'ambito dell'inchiesta nei confronti di affiliati al clan "Zaza", che ha visto l'esecuzione di 29 ordinanze di custodia cautelare da parte del Centro Operativo D.I.A. di Roma.</w:t>
      </w:r>
    </w:p>
    <w:p w:rsidR="00107735" w:rsidRPr="009560AD" w:rsidRDefault="00107735" w:rsidP="00107735">
      <w:pPr>
        <w:jc w:val="both"/>
        <w:rPr>
          <w:i/>
        </w:rPr>
      </w:pPr>
      <w:r w:rsidRPr="009560AD">
        <w:rPr>
          <w:i/>
        </w:rPr>
        <w:t xml:space="preserve"> Attività investigative hanno evidenziato la presenza di elementi contigui alla famiglia camorristica dei "Mallardo''.</w:t>
      </w:r>
    </w:p>
    <w:p w:rsidR="00107735" w:rsidRPr="009560AD" w:rsidRDefault="00107735" w:rsidP="00107735">
      <w:pPr>
        <w:jc w:val="both"/>
        <w:rPr>
          <w:i/>
        </w:rPr>
      </w:pPr>
      <w:r w:rsidRPr="009560AD">
        <w:rPr>
          <w:i/>
        </w:rPr>
        <w:t xml:space="preserve"> Analogamente, nella zona nord della provincia, in Val d'Elsa senese, sono stati individuati investimenti effettuati nel settore commerciale da soggetti organici e/o legati alle organizzazioni criminali di tipo mafioso egemoni nell'area </w:t>
      </w:r>
      <w:proofErr w:type="spellStart"/>
      <w:r w:rsidRPr="009560AD">
        <w:rPr>
          <w:i/>
        </w:rPr>
        <w:t>geocriminale</w:t>
      </w:r>
      <w:proofErr w:type="spellEnd"/>
      <w:r w:rsidRPr="009560AD">
        <w:rPr>
          <w:i/>
        </w:rPr>
        <w:t xml:space="preserve"> pugliese (Sacra corona unita).</w:t>
      </w:r>
    </w:p>
    <w:p w:rsidR="00107735" w:rsidRPr="009560AD" w:rsidRDefault="00107735" w:rsidP="00107735">
      <w:pPr>
        <w:jc w:val="both"/>
        <w:rPr>
          <w:i/>
        </w:rPr>
      </w:pPr>
      <w:r w:rsidRPr="009560AD">
        <w:rPr>
          <w:i/>
        </w:rPr>
        <w:t xml:space="preserve"> Nella zona di Torrita di Siena e di Sinalunga sono stati individuati investimenti nel settore commerciale ed imprenditoriale effettuati da famiglie mafiose del crotonese. </w:t>
      </w:r>
    </w:p>
    <w:p w:rsidR="00107735" w:rsidRPr="009560AD" w:rsidRDefault="00107735" w:rsidP="00107735">
      <w:pPr>
        <w:jc w:val="both"/>
        <w:rPr>
          <w:i/>
        </w:rPr>
      </w:pPr>
      <w:r w:rsidRPr="009560AD">
        <w:rPr>
          <w:i/>
        </w:rPr>
        <w:t xml:space="preserve">Nella zona di </w:t>
      </w:r>
      <w:proofErr w:type="spellStart"/>
      <w:r w:rsidRPr="009560AD">
        <w:rPr>
          <w:i/>
        </w:rPr>
        <w:t>Moltepulciano</w:t>
      </w:r>
      <w:proofErr w:type="spellEnd"/>
      <w:r w:rsidRPr="009560AD">
        <w:rPr>
          <w:i/>
        </w:rPr>
        <w:t xml:space="preserve"> si registra l'operatività di affiliati alla '</w:t>
      </w:r>
      <w:proofErr w:type="spellStart"/>
      <w:r w:rsidRPr="009560AD">
        <w:rPr>
          <w:i/>
        </w:rPr>
        <w:t>ndrina</w:t>
      </w:r>
      <w:proofErr w:type="spellEnd"/>
      <w:r w:rsidRPr="009560AD">
        <w:rPr>
          <w:i/>
        </w:rPr>
        <w:t xml:space="preserve"> dei "Crea" attiva nel territorio di Rizziconi (RC), in passato resisi protagonisti di una tentata estorsione nei confronti di un imprenditore del luogo. </w:t>
      </w:r>
    </w:p>
    <w:p w:rsidR="00107735" w:rsidRPr="009560AD" w:rsidRDefault="00107735" w:rsidP="00107735">
      <w:pPr>
        <w:jc w:val="both"/>
        <w:rPr>
          <w:i/>
        </w:rPr>
      </w:pPr>
      <w:r w:rsidRPr="009560AD">
        <w:rPr>
          <w:i/>
        </w:rPr>
        <w:t>Soggetti vicini ad alcuni clan camorristici e, in generale, provenienti da regioni del sud Italia, si sono resi responsabili di rapine ai danni di istituti di credito ed uffici postali.</w:t>
      </w:r>
    </w:p>
    <w:p w:rsidR="00107735" w:rsidRPr="009560AD" w:rsidRDefault="00107735" w:rsidP="00107735">
      <w:pPr>
        <w:jc w:val="both"/>
        <w:rPr>
          <w:i/>
        </w:rPr>
      </w:pPr>
      <w:r w:rsidRPr="009560AD">
        <w:rPr>
          <w:i/>
        </w:rPr>
        <w:t xml:space="preserve"> Nel 2014, la provincia di Siena ha registrato un decremento del numero totale dei reati ( +8,4% ). In particolare i furti - con un aumento consistente soprattutto di quelli consumati ai danni di esercizi commerciali, su auto in sosta. </w:t>
      </w:r>
    </w:p>
    <w:p w:rsidR="00107735" w:rsidRPr="009560AD" w:rsidRDefault="00107735" w:rsidP="00107735">
      <w:pPr>
        <w:jc w:val="both"/>
        <w:rPr>
          <w:i/>
        </w:rPr>
      </w:pPr>
      <w:r w:rsidRPr="009560AD">
        <w:rPr>
          <w:i/>
        </w:rPr>
        <w:t xml:space="preserve">Nel </w:t>
      </w:r>
      <w:smartTag w:uri="urn:schemas-microsoft-com:office:smarttags" w:element="phone">
        <w:smartTagPr>
          <w:attr w:name="ls" w:val="trans"/>
        </w:smartTagPr>
        <w:r w:rsidRPr="009560AD">
          <w:rPr>
            <w:i/>
          </w:rPr>
          <w:t>2014, l</w:t>
        </w:r>
      </w:smartTag>
      <w:r w:rsidRPr="009560AD">
        <w:rPr>
          <w:i/>
        </w:rPr>
        <w:t xml:space="preserve">'incidenza del numero delle segnalazioni riferite a cittadini stranieri sono state 1.295, incidendo per il 31,5% sul totale dei reati commessi le rapine in abitazione, i furti, i furti in abitazione, le ricettazioni e gli stupefacenti. </w:t>
      </w:r>
    </w:p>
    <w:p w:rsidR="00107735" w:rsidRPr="009560AD" w:rsidRDefault="00107735" w:rsidP="00107735">
      <w:pPr>
        <w:jc w:val="both"/>
        <w:rPr>
          <w:i/>
        </w:rPr>
      </w:pPr>
      <w:r w:rsidRPr="009560AD">
        <w:rPr>
          <w:i/>
        </w:rPr>
        <w:t>I sodalizi allogeni, dediti prevalentemente al traffico ed allo spaccio di sostanze stupefacenti e spesso in alleanza con soggetti di altre etnie ed anche con italiani, danno vita ad organizzazioni criminali multietniche. Lo spaccio di sostanze stupefacenti, che interessa in particolar modo l'area dell'Alta Val d'Elsa, è riconducibile soprattutto a tunisini, marocchini, albanesi e sudamericani.</w:t>
      </w:r>
    </w:p>
    <w:p w:rsidR="00107735" w:rsidRPr="009560AD" w:rsidRDefault="00107735" w:rsidP="00107735">
      <w:pPr>
        <w:jc w:val="both"/>
        <w:rPr>
          <w:i/>
        </w:rPr>
      </w:pPr>
      <w:r w:rsidRPr="009560AD">
        <w:rPr>
          <w:i/>
        </w:rPr>
        <w:t>Con riguardo ai reati contro il patrimonio, si segnala come truffe, scippi e furti in abitazione, presso bar, ristoranti e locali notturni risultano posti in essere spesso da stranieri e da nomadi provenienti dalla limitrofa provincia di Firenze.</w:t>
      </w:r>
    </w:p>
    <w:p w:rsidR="00107735" w:rsidRPr="009560AD" w:rsidRDefault="00107735" w:rsidP="00107735">
      <w:pPr>
        <w:jc w:val="both"/>
        <w:rPr>
          <w:i/>
        </w:rPr>
      </w:pPr>
      <w:r w:rsidRPr="009560AD">
        <w:rPr>
          <w:i/>
        </w:rPr>
        <w:t xml:space="preserve"> Per quanto attiene alle rapine, si registra l'insorgere del fenomeno del pendolarismo criminale ad opera di soggetti che, pur collegati ad organizzazioni criminali autoctone, agiscono al di fuori del contesto organizzativo d'origine. </w:t>
      </w:r>
    </w:p>
    <w:p w:rsidR="00107735" w:rsidRPr="009560AD" w:rsidRDefault="00107735" w:rsidP="00107735">
      <w:pPr>
        <w:jc w:val="both"/>
        <w:rPr>
          <w:b/>
          <w:i/>
        </w:rPr>
      </w:pPr>
      <w:r w:rsidRPr="009560AD">
        <w:rPr>
          <w:b/>
          <w:i/>
        </w:rPr>
        <w:t>PRINCIPALI OPERAZIONI DI POLIZIA</w:t>
      </w:r>
    </w:p>
    <w:p w:rsidR="00107735" w:rsidRPr="009560AD" w:rsidRDefault="00107735" w:rsidP="00107735">
      <w:pPr>
        <w:jc w:val="both"/>
        <w:rPr>
          <w:i/>
        </w:rPr>
      </w:pPr>
      <w:smartTag w:uri="urn:schemas-microsoft-com:office:smarttags" w:element="phone">
        <w:smartTagPr>
          <w:attr w:name="ls" w:val="trans"/>
        </w:smartTagPr>
        <w:r w:rsidRPr="009560AD">
          <w:rPr>
            <w:b/>
            <w:i/>
          </w:rPr>
          <w:t>14 gennaio 2014</w:t>
        </w:r>
      </w:smartTag>
      <w:r w:rsidRPr="009560AD">
        <w:rPr>
          <w:b/>
          <w:i/>
        </w:rPr>
        <w:t xml:space="preserve"> - Provincie di Siena, Arezzo, Firenze e Napoli</w:t>
      </w:r>
      <w:r>
        <w:t xml:space="preserve"> - </w:t>
      </w:r>
      <w:r w:rsidRPr="009560AD">
        <w:rPr>
          <w:i/>
        </w:rPr>
        <w:t xml:space="preserve">L'Arma dei Carabinieri ha eseguito un'ordinanza di custodia cautelare nei confronti di 14 soggetti - di cui 5 agli arresti domiciliari - </w:t>
      </w:r>
      <w:r w:rsidRPr="009560AD">
        <w:rPr>
          <w:i/>
        </w:rPr>
        <w:lastRenderedPageBreak/>
        <w:t xml:space="preserve">responsabili, a vario titolo, di traffico e spaccio di sostanze stupefacenti, nonché estorsione aggravata e continuata. L'indagine ha consentito di accertare le responsabilità degli arrestati circa un consistente traffico di cocaina che dalla Campania veniva immessa sul mercato toscano attraverso una fitta rete di spacciatori. Inoltre, è stata fatta luce su alcune estorsioni perpetrate, con metodi violenti o attraverso minacce gravi, ai danni di acquirenti dello stupefacente, insolventi o in ritardo con i pagamenti. </w:t>
      </w:r>
    </w:p>
    <w:p w:rsidR="00107735" w:rsidRPr="009560AD" w:rsidRDefault="00107735" w:rsidP="00107735">
      <w:pPr>
        <w:jc w:val="both"/>
        <w:rPr>
          <w:i/>
        </w:rPr>
      </w:pPr>
      <w:smartTag w:uri="urn:schemas-microsoft-com:office:smarttags" w:element="phone">
        <w:smartTagPr>
          <w:attr w:name="ls" w:val="trans"/>
        </w:smartTagPr>
        <w:r w:rsidRPr="009560AD">
          <w:rPr>
            <w:b/>
            <w:i/>
          </w:rPr>
          <w:t>15 gennaio 2014</w:t>
        </w:r>
      </w:smartTag>
      <w:r w:rsidRPr="009560AD">
        <w:rPr>
          <w:b/>
          <w:i/>
        </w:rPr>
        <w:t xml:space="preserve"> - Siena</w:t>
      </w:r>
      <w:r w:rsidRPr="009560AD">
        <w:rPr>
          <w:i/>
        </w:rPr>
        <w:t xml:space="preserve"> - La Polizia di Stato ha eseguito un'ordinanza di custodia cautelare in carcere nei confronti di 2 uomini ed una donna di nazionalità romena, responsabili, a vario titolo, di tratta di persone aggravata, riduzione in schiavitù, induzione, sfruttamento e favoreggiamento della prostituzione. Le indagini hanno dimostrato come i prevenuti introducevano nel territorio nazionale, donne di dell'Est Europa, convinte a venire in Italia con l'inganno e la promessa di un lavoro, ma poi costrette a prostituirsi per le strade della provincia di Siena.</w:t>
      </w:r>
    </w:p>
    <w:p w:rsidR="00107735" w:rsidRDefault="00107735" w:rsidP="00107735">
      <w:pPr>
        <w:jc w:val="both"/>
      </w:pPr>
      <w:smartTag w:uri="urn:schemas-microsoft-com:office:smarttags" w:element="phone">
        <w:smartTagPr>
          <w:attr w:name="ls" w:val="trans"/>
        </w:smartTagPr>
        <w:r w:rsidRPr="009560AD">
          <w:rPr>
            <w:b/>
            <w:i/>
          </w:rPr>
          <w:t>4 febbraio 2014</w:t>
        </w:r>
      </w:smartTag>
      <w:r w:rsidRPr="009560AD">
        <w:rPr>
          <w:b/>
          <w:i/>
        </w:rPr>
        <w:t xml:space="preserve"> - Sarteano (SI)</w:t>
      </w:r>
      <w:r w:rsidRPr="009560AD">
        <w:rPr>
          <w:i/>
        </w:rPr>
        <w:t xml:space="preserve"> - </w:t>
      </w:r>
      <w:smartTag w:uri="urn:schemas-microsoft-com:office:smarttags" w:element="phone">
        <w:smartTagPr>
          <w:attr w:name="ls" w:val="trans"/>
        </w:smartTagPr>
        <w:r w:rsidRPr="009560AD">
          <w:rPr>
            <w:i/>
          </w:rPr>
          <w:t>La Direzione Investigativa Antimafia</w:t>
        </w:r>
      </w:smartTag>
      <w:r w:rsidRPr="009560AD">
        <w:rPr>
          <w:i/>
        </w:rPr>
        <w:t xml:space="preserve"> ha sequestrato 18 cavalli da corsa nell'allevamento della Tenuta di Spineto (struttura estranea alla vicenda giudiziaria), sita nel comune di Sarteano (SI). Il provvedimento è stato eseguito nell'ambito di un'inchiesta della DDA di Napoli nei confronti del clan "Zaza", che ha visto l'esecuzione di 29 ordinanze di custodia cautelare</w:t>
      </w:r>
      <w:r>
        <w:t xml:space="preserve">. </w:t>
      </w:r>
    </w:p>
    <w:p w:rsidR="00107735" w:rsidRPr="009560AD" w:rsidRDefault="00107735" w:rsidP="00107735">
      <w:pPr>
        <w:jc w:val="both"/>
        <w:rPr>
          <w:i/>
        </w:rPr>
      </w:pPr>
      <w:smartTag w:uri="urn:schemas-microsoft-com:office:smarttags" w:element="phone">
        <w:smartTagPr>
          <w:attr w:name="ls" w:val="trans"/>
        </w:smartTagPr>
        <w:r w:rsidRPr="009560AD">
          <w:rPr>
            <w:b/>
            <w:i/>
          </w:rPr>
          <w:t>24 febbraio 2014</w:t>
        </w:r>
      </w:smartTag>
      <w:r w:rsidRPr="009560AD">
        <w:rPr>
          <w:b/>
          <w:i/>
        </w:rPr>
        <w:t xml:space="preserve"> - Siena, Roma, Milano, Monza e Ravenna</w:t>
      </w:r>
      <w:r w:rsidRPr="009560AD">
        <w:rPr>
          <w:i/>
        </w:rPr>
        <w:t>- La Guardia di Finanza, nell'ambito del filone d'indagine sul Monte Paschi di Siena, ha eseguito perquisizioni in tutta Italia nei confronti di 11 nuovi indagati tra funzionari della banca e broker finanziari, responsabili di associazione per delinquere finalizzata alla truffa ai danni del MPS. Le indagini riguarderebbero una truffa di 47 milioni di euro ai danni del suddetto istituto di credito, perpetrata da funzionari di rilievo all'interno della medesima banca; truffa avvenuta attraverso movimenti di denaro sui vari conti correnti intestati a società e fiduciari con sedi in paesi offshore.</w:t>
      </w:r>
    </w:p>
    <w:p w:rsidR="00107735" w:rsidRDefault="00107735" w:rsidP="00107735">
      <w:pPr>
        <w:jc w:val="both"/>
      </w:pPr>
      <w:r w:rsidRPr="009560AD">
        <w:rPr>
          <w:b/>
          <w:i/>
        </w:rPr>
        <w:t xml:space="preserve"> </w:t>
      </w:r>
      <w:smartTag w:uri="urn:schemas-microsoft-com:office:smarttags" w:element="phone">
        <w:smartTagPr>
          <w:attr w:name="ls" w:val="trans"/>
        </w:smartTagPr>
        <w:r w:rsidRPr="009560AD">
          <w:rPr>
            <w:b/>
            <w:i/>
          </w:rPr>
          <w:t>5 marzo 2014</w:t>
        </w:r>
      </w:smartTag>
      <w:r w:rsidRPr="009560AD">
        <w:rPr>
          <w:b/>
          <w:i/>
        </w:rPr>
        <w:t xml:space="preserve"> - Siena e Bergamo</w:t>
      </w:r>
      <w:r w:rsidRPr="009560AD">
        <w:rPr>
          <w:i/>
        </w:rPr>
        <w:t xml:space="preserve">- L'Arma dei Carabinieri, a conclusione di una mirata attività d'indagine, ha eseguito un'ordinanza di custodia cautelare in carcere nei confronti di 3 cittadini albanesi, responsabili di furto aggravato e continuato in concorso. I prevenuti sono stati identificati come gli autori di numerosi furti in abitazione perpetrati in Sovicille (SI) e Castiglion del Lago (PG) nell'arco notturno compreso tra i giorni 22 e </w:t>
      </w:r>
      <w:smartTag w:uri="urn:schemas-microsoft-com:office:smarttags" w:element="phone">
        <w:smartTagPr>
          <w:attr w:name="ls" w:val="trans"/>
        </w:smartTagPr>
        <w:r w:rsidRPr="009560AD">
          <w:rPr>
            <w:i/>
          </w:rPr>
          <w:t>23 novembre</w:t>
        </w:r>
        <w:r>
          <w:t xml:space="preserve"> 2013</w:t>
        </w:r>
      </w:smartTag>
      <w:r>
        <w:t xml:space="preserve">. </w:t>
      </w:r>
    </w:p>
    <w:p w:rsidR="00107735" w:rsidRPr="009560AD" w:rsidRDefault="00107735" w:rsidP="00107735">
      <w:pPr>
        <w:jc w:val="both"/>
        <w:rPr>
          <w:i/>
        </w:rPr>
      </w:pPr>
      <w:smartTag w:uri="urn:schemas-microsoft-com:office:smarttags" w:element="phone">
        <w:smartTagPr>
          <w:attr w:name="ls" w:val="trans"/>
        </w:smartTagPr>
        <w:r w:rsidRPr="009560AD">
          <w:rPr>
            <w:b/>
            <w:i/>
          </w:rPr>
          <w:t>7 marzo 2014</w:t>
        </w:r>
      </w:smartTag>
      <w:r w:rsidRPr="009560AD">
        <w:rPr>
          <w:b/>
          <w:i/>
        </w:rPr>
        <w:t xml:space="preserve"> - Siena</w:t>
      </w:r>
      <w:r w:rsidRPr="009560AD">
        <w:rPr>
          <w:i/>
        </w:rPr>
        <w:t xml:space="preserve"> - La Polizia di Stato ha eseguito un'ordinanza di custodia cautelare in carcere nei confronti di 4 soggetti, originaria di Puglia e Calabria, responsabili di rapina aggravata. Le indagini hanno permesso di accertare le responsabilità degli arrestati in merito ad una rapina in abitazione perpetrata il </w:t>
      </w:r>
      <w:smartTag w:uri="urn:schemas-microsoft-com:office:smarttags" w:element="phone">
        <w:smartTagPr>
          <w:attr w:name="ls" w:val="trans"/>
        </w:smartTagPr>
        <w:r w:rsidRPr="009560AD">
          <w:rPr>
            <w:i/>
          </w:rPr>
          <w:t xml:space="preserve">30 settembre </w:t>
        </w:r>
        <w:smartTag w:uri="urn:schemas-microsoft-com:office:smarttags" w:element="phone">
          <w:smartTagPr>
            <w:attr w:name="ls" w:val="trans"/>
          </w:smartTagPr>
          <w:r w:rsidRPr="009560AD">
            <w:rPr>
              <w:i/>
            </w:rPr>
            <w:t>2013</w:t>
          </w:r>
        </w:smartTag>
        <w:r w:rsidRPr="009560AD">
          <w:rPr>
            <w:i/>
          </w:rPr>
          <w:t xml:space="preserve"> in</w:t>
        </w:r>
      </w:smartTag>
      <w:r w:rsidRPr="009560AD">
        <w:rPr>
          <w:i/>
        </w:rPr>
        <w:t xml:space="preserve"> Poggibonsi (SI).</w:t>
      </w:r>
    </w:p>
    <w:p w:rsidR="00107735" w:rsidRPr="009560AD" w:rsidRDefault="00107735" w:rsidP="00107735">
      <w:pPr>
        <w:jc w:val="both"/>
        <w:rPr>
          <w:i/>
        </w:rPr>
      </w:pPr>
      <w:r w:rsidRPr="009560AD">
        <w:rPr>
          <w:b/>
          <w:i/>
        </w:rPr>
        <w:t xml:space="preserve"> </w:t>
      </w:r>
      <w:smartTag w:uri="urn:schemas-microsoft-com:office:smarttags" w:element="phone">
        <w:smartTagPr>
          <w:attr w:name="ls" w:val="trans"/>
        </w:smartTagPr>
        <w:r w:rsidRPr="009560AD">
          <w:rPr>
            <w:b/>
            <w:i/>
          </w:rPr>
          <w:t>25 marzo 2014</w:t>
        </w:r>
      </w:smartTag>
      <w:r w:rsidRPr="009560AD">
        <w:rPr>
          <w:b/>
          <w:i/>
        </w:rPr>
        <w:t xml:space="preserve"> - Roma e Siena</w:t>
      </w:r>
      <w:r w:rsidRPr="009560AD">
        <w:rPr>
          <w:i/>
        </w:rPr>
        <w:t xml:space="preserve"> - La Guardia di Finanza ha eseguito un'ordinanza di custodia cautelare nei confronti di n. 4 soggetti, responsabili di associazione per delinquere, corruzione per un atto contrario ai doveri d'ufficio, corruzione di persona incaricata di un pubblico servizio. Inoltre, nell'ambito della medesima attività e nei confronti dei soggetti attinti dalla misura cautelare personale, è stata data esecuzione al sequestro ex art. 255 c.p.p. di n. 14 rapporti bancari\finanziari per l'intera loro capienza, pari ad un totale complessivo di euro 1.686.610. </w:t>
      </w:r>
    </w:p>
    <w:p w:rsidR="00107735" w:rsidRPr="009560AD" w:rsidRDefault="00107735" w:rsidP="00107735">
      <w:pPr>
        <w:jc w:val="both"/>
        <w:rPr>
          <w:i/>
        </w:rPr>
      </w:pPr>
      <w:smartTag w:uri="urn:schemas-microsoft-com:office:smarttags" w:element="phone">
        <w:smartTagPr>
          <w:attr w:name="ls" w:val="trans"/>
        </w:smartTagPr>
        <w:r w:rsidRPr="009560AD">
          <w:rPr>
            <w:b/>
            <w:i/>
          </w:rPr>
          <w:t>7 maggio 2014</w:t>
        </w:r>
      </w:smartTag>
      <w:r w:rsidRPr="009560AD">
        <w:rPr>
          <w:b/>
          <w:i/>
        </w:rPr>
        <w:t xml:space="preserve"> - Montepulciano (SI), Roma e Acerra (NA)</w:t>
      </w:r>
      <w:r w:rsidRPr="009560AD">
        <w:rPr>
          <w:i/>
        </w:rPr>
        <w:t xml:space="preserve"> - L'Arma dei Carabinieri ha eseguito un'ordinanza di custodia cautelare in carcere nei confronti di 4 soggetti, di cui 3 di nazionalità albanese e uno rumena, responsabili in concorso di rapina e sequestro di persona. Le indagini hanno consentito di accertare le responsabilità dei prevenuti in merito ad una rapina in villa perpetrata in Montepulciano, nel 2013. </w:t>
      </w:r>
    </w:p>
    <w:p w:rsidR="00107735" w:rsidRPr="009560AD" w:rsidRDefault="00107735" w:rsidP="00107735">
      <w:pPr>
        <w:jc w:val="both"/>
        <w:rPr>
          <w:i/>
        </w:rPr>
      </w:pPr>
      <w:r w:rsidRPr="009560AD">
        <w:rPr>
          <w:b/>
          <w:i/>
        </w:rPr>
        <w:lastRenderedPageBreak/>
        <w:t>10 giugno 2014 - Siena</w:t>
      </w:r>
      <w:r w:rsidRPr="009560AD">
        <w:rPr>
          <w:i/>
        </w:rPr>
        <w:t xml:space="preserve"> - La Polizia di Stato ha eseguito un'ordinanza di custodia cautelare agli arresti domiciliari nei confronti del Presidente di ATC 19 (ambito territoriale di caccia di Chianciano Terme), responsabili di peculato, concussione e turbata libertà degli incanti in almeno 6 bandi di gara pubblici. Nell'ambito dello stesso contesto sono state notificate informazioni di garanzia nei confronti di altri 4 soggetti, responsabili di turbativa d'asta in concorso. </w:t>
      </w:r>
    </w:p>
    <w:p w:rsidR="00107735" w:rsidRPr="009560AD" w:rsidRDefault="00107735" w:rsidP="00107735">
      <w:pPr>
        <w:jc w:val="both"/>
        <w:rPr>
          <w:i/>
        </w:rPr>
      </w:pPr>
      <w:r w:rsidRPr="009560AD">
        <w:rPr>
          <w:b/>
          <w:i/>
        </w:rPr>
        <w:t>14 agosto 2014/17 ottobre 2014 Roma, Milano, Genova, Torino, Siena, Ancona, Napoli, San Felice Circeo (L T),Cerreto Laziale (RM), Civitavecchia (RM), Frascati (RM), Porto Torres (SS), Scafati(SA)</w:t>
      </w:r>
      <w:r w:rsidRPr="009560AD">
        <w:rPr>
          <w:i/>
        </w:rPr>
        <w:t xml:space="preserve"> - La Guardia di Finanza, nell'ambito dell'operazione "</w:t>
      </w:r>
      <w:proofErr w:type="spellStart"/>
      <w:r w:rsidRPr="009560AD">
        <w:rPr>
          <w:i/>
        </w:rPr>
        <w:t>Rubin</w:t>
      </w:r>
      <w:proofErr w:type="spellEnd"/>
      <w:r w:rsidRPr="009560AD">
        <w:rPr>
          <w:i/>
        </w:rPr>
        <w:t xml:space="preserve"> Lady", ha arrestato 3 soggetti, responsabili, a vario titolo, di associazione per delinquere finalizzata alla bancarotta fraudolenta patrimoniale e documentale, nonché per frode processuale, falso 'in atto pubblico e truffa aggravata ai danni dello Stato. Nell'ambito della stessa operazione, successivamente, sono stati sequestrati beni mobili ed immobili, quote societarie, titoli e rapporti finanziari per un valore di circa 60 milioni di euro. </w:t>
      </w:r>
    </w:p>
    <w:p w:rsidR="00107735" w:rsidRPr="009560AD" w:rsidRDefault="00107735" w:rsidP="00107735">
      <w:pPr>
        <w:jc w:val="both"/>
        <w:rPr>
          <w:i/>
        </w:rPr>
      </w:pPr>
      <w:r w:rsidRPr="009560AD">
        <w:rPr>
          <w:b/>
          <w:i/>
        </w:rPr>
        <w:t>16 ottobre 2014 - Siena</w:t>
      </w:r>
      <w:r w:rsidRPr="009560AD">
        <w:rPr>
          <w:i/>
        </w:rPr>
        <w:t xml:space="preserve"> - L'Arma dei Carabinieri hanno arrestato un cittadino portoghese, responsabile di detenzione e spaccio di sostanze stupefacenti. Durante l'operazione sono stati sequestrati 4 kg di eroina. </w:t>
      </w:r>
    </w:p>
    <w:p w:rsidR="00107735" w:rsidRPr="009560AD" w:rsidRDefault="00107735" w:rsidP="00107735">
      <w:pPr>
        <w:jc w:val="both"/>
        <w:rPr>
          <w:i/>
        </w:rPr>
      </w:pPr>
      <w:r w:rsidRPr="009560AD">
        <w:rPr>
          <w:b/>
          <w:i/>
        </w:rPr>
        <w:t xml:space="preserve">25 novembre 2014 - Napoli, Salerno e San Gimignano (SI) </w:t>
      </w:r>
      <w:r w:rsidRPr="009560AD">
        <w:rPr>
          <w:i/>
        </w:rPr>
        <w:t>- La Guardia di Finanza, nell'ambito dell'operazione "</w:t>
      </w:r>
      <w:proofErr w:type="spellStart"/>
      <w:r w:rsidRPr="009560AD">
        <w:rPr>
          <w:i/>
        </w:rPr>
        <w:t>lmpact</w:t>
      </w:r>
      <w:proofErr w:type="spellEnd"/>
      <w:r w:rsidRPr="009560AD">
        <w:rPr>
          <w:i/>
        </w:rPr>
        <w:t xml:space="preserve">", ha eseguito un'ordinanza di custodia cautelare nei confronti di 6 soggetti affiliati alla "camorra" e responsabili di associazione di tipo mafioso, estorsione, rapina, traffico di stupefacenti e porto abusivo di armi. Nel corso della stessa operazione sono stati, inoltre, sottoposti a sequestro circa 25 grammi di cocaina e la somma di 3.225 euro in quanto prezzo/prodotto del reato di spaccio di sostanza stupefacente. </w:t>
      </w:r>
    </w:p>
    <w:p w:rsidR="00107735" w:rsidRPr="009560AD" w:rsidRDefault="00107735" w:rsidP="00107735">
      <w:pPr>
        <w:jc w:val="both"/>
        <w:rPr>
          <w:i/>
        </w:rPr>
      </w:pPr>
      <w:r w:rsidRPr="009560AD">
        <w:rPr>
          <w:b/>
          <w:i/>
        </w:rPr>
        <w:t>10 dicembre 2014 - Province Perugia, Varese, Modena, Bologna, Firenze, Arezzo, Siena, Roma, Viterbo, Ancona, Macerata, Caserta, Crotone e Cosenza</w:t>
      </w:r>
      <w:r w:rsidRPr="009560AD">
        <w:rPr>
          <w:i/>
        </w:rPr>
        <w:t xml:space="preserve"> - L'Arma dei Carabinieri ha eseguito un'ordinanza di custodia cautelare emessa dal tribunale di Perugia, nei confronti di 61 soggetti, di cui 46 in carcere, 8 agli arresti domiciliari e 7 obblighi di dimora, responsabili, a vario titolo, di associazione di tipo mafioso, estorsioni, usura, incendi e danneggiamenti, bancarotta fraudolenta, truffe, trasferimento fraudolento di valori - tutti aggravati dall'art. 7 dl 152/91 -, associazione finalizzata al traffico di sostanze stupefacenti e sfruttamento della prostituzione. Nelle regioni Umbria, Calabria, Toscana, Lazio, Marche, Piemonte ed Emilia Romagna, è stato inoltre eseguito un decreto di sequestro preventivo di beni mobili ed immobili, cespiti bancari, riconducibili agli indagati, finalizzato alla successiva confisca, per un valore complessivo di circa 30 milioni di euro. I provvedimenti traggono origine da un'indagine che ha documentato l'operatività di un'organizzazione "</w:t>
      </w:r>
      <w:proofErr w:type="spellStart"/>
      <w:r w:rsidRPr="009560AD">
        <w:rPr>
          <w:i/>
        </w:rPr>
        <w:t>ndranghetista</w:t>
      </w:r>
      <w:proofErr w:type="spellEnd"/>
      <w:r w:rsidRPr="009560AD">
        <w:rPr>
          <w:i/>
        </w:rPr>
        <w:t xml:space="preserve"> ", collegata alla cosca </w:t>
      </w:r>
      <w:proofErr w:type="spellStart"/>
      <w:r w:rsidRPr="009560AD">
        <w:rPr>
          <w:i/>
        </w:rPr>
        <w:t>Farao</w:t>
      </w:r>
      <w:proofErr w:type="spellEnd"/>
      <w:r w:rsidRPr="009560AD">
        <w:rPr>
          <w:i/>
        </w:rPr>
        <w:t xml:space="preserve"> - </w:t>
      </w:r>
      <w:proofErr w:type="spellStart"/>
      <w:r w:rsidRPr="009560AD">
        <w:rPr>
          <w:i/>
        </w:rPr>
        <w:t>Marincola</w:t>
      </w:r>
      <w:proofErr w:type="spellEnd"/>
      <w:r w:rsidRPr="009560AD">
        <w:rPr>
          <w:i/>
        </w:rPr>
        <w:t xml:space="preserve"> della "locale" di Cirò. Il sodalizio mafioso, operante sul territorio umbro, almeno dal 2008, è risultato particolarmente attivo nell'infiltrazione del tessuto economico locale, mediante la sistematica condotta usuraia ed estorsiva ai danni di imprenditori, spesso intimiditi con incendi e danneggiamenti di attività commerciali e di beni privati. In alcuni casi, gli imprenditori, pur rimanendo formalmente intestatari, venivano sostituiti nella gestione delle stesse attività da esponenti del gruppo criminale che, dopo aver privato l'azienda delle sue linee di credito, ne provocavano la bancarotta fraudolenta, strumentale al compimento di truffe in danno di fornitori di materiali edili. I proventi illeciti venivano dunque reimpiegati per investimenti immobiliari e commerciali tramite l'impiego di prestanome, allo scopo di ostacolare la reale riconducibilità dei beni alla cosca. L'attività investigativa ha inoltre documentato l'acquisizione di attività economiche nel settore dell'intrattenimento, nella realizzazione e costruzione di impianti fotovoltaici, nonché in imprese funzionali all'aggiudicazione dì appalti e/o sub appalti nell'edilizia privata. In tale contesto, è stata anche documentata in Umbria, Toscana e Calabria - la sistematica ricettazione e commercializzazione di mezzi d'opera di illecita provenienza, ceduti anche a ditte calabresi di riferimento. Il sodalizio è risultato infine attivo nel traffico di cocaina, approvvigionata in Calabria dalla cosca cirotana </w:t>
      </w:r>
      <w:r w:rsidRPr="009560AD">
        <w:rPr>
          <w:i/>
        </w:rPr>
        <w:lastRenderedPageBreak/>
        <w:t>di riferimento, avvalendosi della complicità di una collegata organizzazione criminale, prevalentemente composta da cittadini albanesi, all'occorrenza impiegati nell'esecuzione di reati contro il patrimonio, in azioni intimidatorie connesse alle attività usurarie ed estorsive, nonché nel favoreggiamento e sfruttamento della prostituzione di giovani donne provenienti dall'Europa dell'est, all'interno di abitazioni e locali notturni nella disponibilità della cosca contraddistinta da una realtà economica florida che favorisce la penetrazione tanto delle organizzazioni criminali di tipo mafioso autoctone che di quelle straniere, evidenziando in particolare a pag. 589 in riferimento alla provincia di Siena come la stessa sia stata interessata nel corso dell’annualità 2013 da sequestri di beni disposti dall’Autorità Giudiziaria di Palermo per un valore di oltre 15.000.000 di euro riconducibili a imprenditori affiliati a famiglie mafiose già destinatari nel 2009 di un’ordinanza di custodia cautelare in carcere perché ritenuti responsabili di reati di associazione per delinquere di stampo mafioso e truffa aggravata per il conseguimento di erogazioni pubbliche e favoreggiamento”</w:t>
      </w:r>
    </w:p>
    <w:p w:rsidR="00107735" w:rsidRDefault="00107735" w:rsidP="00107735">
      <w:pPr>
        <w:pStyle w:val="Paragrafoelenco"/>
        <w:ind w:left="0"/>
        <w:jc w:val="both"/>
      </w:pPr>
      <w:r>
        <w:t xml:space="preserve">L’analisi del contesto esterno è stata effettuata anche grazie ai dati pervenuti dalla Prefettura di Siena che hanno consentito di elaborare le tabelle e rappresentazioni grafiche sotto riportate.  </w:t>
      </w:r>
    </w:p>
    <w:p w:rsidR="00107735" w:rsidRDefault="00107735" w:rsidP="00107735">
      <w:pPr>
        <w:pStyle w:val="Paragrafoelenco"/>
        <w:ind w:left="0"/>
        <w:jc w:val="both"/>
      </w:pPr>
    </w:p>
    <w:p w:rsidR="00107735" w:rsidRDefault="00107735" w:rsidP="00107735">
      <w:pPr>
        <w:pStyle w:val="Paragrafoelenco"/>
        <w:ind w:left="0"/>
        <w:jc w:val="both"/>
      </w:pPr>
      <w:r>
        <w:rPr>
          <w:noProof/>
          <w:lang w:eastAsia="it-IT"/>
        </w:rPr>
        <w:drawing>
          <wp:inline distT="0" distB="0" distL="0" distR="0">
            <wp:extent cx="6402705" cy="309562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ttura0.PNG"/>
                    <pic:cNvPicPr/>
                  </pic:nvPicPr>
                  <pic:blipFill>
                    <a:blip r:embed="rId14">
                      <a:extLst>
                        <a:ext uri="{28A0092B-C50C-407E-A947-70E740481C1C}">
                          <a14:useLocalDpi xmlns:a14="http://schemas.microsoft.com/office/drawing/2010/main" val="0"/>
                        </a:ext>
                      </a:extLst>
                    </a:blip>
                    <a:stretch>
                      <a:fillRect/>
                    </a:stretch>
                  </pic:blipFill>
                  <pic:spPr>
                    <a:xfrm>
                      <a:off x="0" y="0"/>
                      <a:ext cx="6404893" cy="3096683"/>
                    </a:xfrm>
                    <a:prstGeom prst="rect">
                      <a:avLst/>
                    </a:prstGeom>
                  </pic:spPr>
                </pic:pic>
              </a:graphicData>
            </a:graphic>
          </wp:inline>
        </w:drawing>
      </w:r>
    </w:p>
    <w:p w:rsidR="00107735" w:rsidRDefault="00107735" w:rsidP="00107735">
      <w:pPr>
        <w:pStyle w:val="Paragrafoelenco"/>
        <w:ind w:left="0"/>
        <w:jc w:val="both"/>
      </w:pPr>
    </w:p>
    <w:p w:rsidR="00107735" w:rsidRDefault="00107735" w:rsidP="00107735">
      <w:pPr>
        <w:pStyle w:val="Paragrafoelenco"/>
        <w:ind w:left="0"/>
        <w:jc w:val="both"/>
      </w:pPr>
    </w:p>
    <w:p w:rsidR="00107735" w:rsidRDefault="00107735" w:rsidP="00107735">
      <w:pPr>
        <w:pStyle w:val="Paragrafoelenco"/>
        <w:ind w:left="0"/>
        <w:jc w:val="both"/>
      </w:pPr>
    </w:p>
    <w:p w:rsidR="00107735" w:rsidRDefault="00107735" w:rsidP="00107735">
      <w:pPr>
        <w:pStyle w:val="Paragrafoelenco"/>
        <w:ind w:left="0"/>
        <w:jc w:val="both"/>
      </w:pPr>
    </w:p>
    <w:p w:rsidR="00107735" w:rsidRDefault="00107735" w:rsidP="00107735">
      <w:pPr>
        <w:pStyle w:val="Paragrafoelenco"/>
        <w:ind w:left="0"/>
        <w:jc w:val="both"/>
      </w:pPr>
      <w:r w:rsidRPr="0004573A">
        <w:rPr>
          <w:rFonts w:ascii="Tahoma" w:hAnsi="Tahoma" w:cs="Tahoma"/>
          <w:b/>
        </w:rPr>
        <w:t xml:space="preserve">Graf. 11 </w:t>
      </w:r>
      <w:r>
        <w:t xml:space="preserve">– </w:t>
      </w:r>
      <w:r w:rsidRPr="002B20FB">
        <w:rPr>
          <w:b/>
        </w:rPr>
        <w:t>ANDAMENTO DEI DELITTI CONTRO LA PERSONA IN PROVINCIA DI SIENA NEL DECENNIO 2005-2015</w:t>
      </w:r>
    </w:p>
    <w:p w:rsidR="00107735" w:rsidRDefault="00107735" w:rsidP="00107735">
      <w:pPr>
        <w:pStyle w:val="Paragrafoelenco"/>
        <w:ind w:left="0"/>
        <w:jc w:val="both"/>
      </w:pPr>
    </w:p>
    <w:p w:rsidR="00107735" w:rsidRPr="00081DF6" w:rsidRDefault="00107735" w:rsidP="00107735">
      <w:pPr>
        <w:pStyle w:val="Paragrafoelenco"/>
        <w:ind w:left="0"/>
        <w:jc w:val="both"/>
      </w:pPr>
      <w:r>
        <w:rPr>
          <w:noProof/>
          <w:lang w:eastAsia="it-IT"/>
        </w:rPr>
        <w:lastRenderedPageBreak/>
        <w:drawing>
          <wp:inline distT="0" distB="0" distL="0" distR="0">
            <wp:extent cx="6372225" cy="344805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2225" cy="3448050"/>
                    </a:xfrm>
                    <a:prstGeom prst="rect">
                      <a:avLst/>
                    </a:prstGeom>
                    <a:noFill/>
                    <a:ln>
                      <a:noFill/>
                    </a:ln>
                  </pic:spPr>
                </pic:pic>
              </a:graphicData>
            </a:graphic>
          </wp:inline>
        </w:drawing>
      </w:r>
    </w:p>
    <w:p w:rsidR="00107735" w:rsidRDefault="00107735" w:rsidP="00107735">
      <w:pPr>
        <w:pStyle w:val="Paragrafoelenco"/>
        <w:ind w:left="0"/>
        <w:jc w:val="both"/>
      </w:pPr>
    </w:p>
    <w:p w:rsidR="00107735" w:rsidRDefault="00107735" w:rsidP="00107735">
      <w:pPr>
        <w:pStyle w:val="Paragrafoelenco"/>
        <w:ind w:left="0"/>
        <w:jc w:val="both"/>
      </w:pPr>
    </w:p>
    <w:p w:rsidR="00107735" w:rsidRDefault="00107735" w:rsidP="00107735">
      <w:pPr>
        <w:pStyle w:val="Paragrafoelenco"/>
        <w:ind w:left="0"/>
        <w:jc w:val="both"/>
      </w:pPr>
    </w:p>
    <w:p w:rsidR="00107735" w:rsidRDefault="00107735" w:rsidP="00107735">
      <w:pPr>
        <w:pStyle w:val="Paragrafoelenco"/>
        <w:ind w:left="0"/>
        <w:jc w:val="both"/>
      </w:pPr>
    </w:p>
    <w:p w:rsidR="00107735" w:rsidRDefault="00107735" w:rsidP="00107735">
      <w:pPr>
        <w:pStyle w:val="Paragrafoelenco"/>
        <w:ind w:left="0"/>
        <w:jc w:val="both"/>
      </w:pPr>
    </w:p>
    <w:p w:rsidR="00107735" w:rsidRDefault="00107735" w:rsidP="00107735">
      <w:pPr>
        <w:pStyle w:val="Paragrafoelenco"/>
        <w:ind w:left="0"/>
        <w:jc w:val="both"/>
      </w:pPr>
    </w:p>
    <w:p w:rsidR="00107735" w:rsidRDefault="00865C84" w:rsidP="00107735">
      <w:pPr>
        <w:pStyle w:val="Paragrafoelenco"/>
        <w:ind w:left="0"/>
        <w:jc w:val="both"/>
      </w:pPr>
      <w:r>
        <w:rPr>
          <w:noProof/>
          <w:lang w:eastAsia="it-IT"/>
        </w:rPr>
        <w:drawing>
          <wp:inline distT="0" distB="0" distL="0" distR="0">
            <wp:extent cx="6327458" cy="34671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ttura1.PNG"/>
                    <pic:cNvPicPr/>
                  </pic:nvPicPr>
                  <pic:blipFill>
                    <a:blip r:embed="rId16">
                      <a:extLst>
                        <a:ext uri="{28A0092B-C50C-407E-A947-70E740481C1C}">
                          <a14:useLocalDpi xmlns:a14="http://schemas.microsoft.com/office/drawing/2010/main" val="0"/>
                        </a:ext>
                      </a:extLst>
                    </a:blip>
                    <a:stretch>
                      <a:fillRect/>
                    </a:stretch>
                  </pic:blipFill>
                  <pic:spPr>
                    <a:xfrm>
                      <a:off x="0" y="0"/>
                      <a:ext cx="6331708" cy="3469429"/>
                    </a:xfrm>
                    <a:prstGeom prst="rect">
                      <a:avLst/>
                    </a:prstGeom>
                  </pic:spPr>
                </pic:pic>
              </a:graphicData>
            </a:graphic>
          </wp:inline>
        </w:drawing>
      </w:r>
    </w:p>
    <w:p w:rsidR="00107735" w:rsidRDefault="00107735" w:rsidP="00107735">
      <w:pPr>
        <w:pStyle w:val="Paragrafoelenco"/>
        <w:ind w:left="0"/>
        <w:jc w:val="both"/>
      </w:pPr>
    </w:p>
    <w:p w:rsidR="00107735" w:rsidRDefault="00107735" w:rsidP="00107735">
      <w:pPr>
        <w:pStyle w:val="Paragrafoelenco"/>
        <w:jc w:val="both"/>
      </w:pPr>
    </w:p>
    <w:p w:rsidR="00107735" w:rsidRDefault="00107735" w:rsidP="00107735">
      <w:pPr>
        <w:pStyle w:val="Paragrafoelenco"/>
        <w:ind w:left="0"/>
        <w:jc w:val="both"/>
      </w:pPr>
      <w:r w:rsidRPr="0004573A">
        <w:rPr>
          <w:rFonts w:ascii="Tahoma" w:hAnsi="Tahoma" w:cs="Tahoma"/>
          <w:b/>
        </w:rPr>
        <w:t xml:space="preserve">Graf. </w:t>
      </w:r>
      <w:r>
        <w:rPr>
          <w:rFonts w:ascii="Tahoma" w:hAnsi="Tahoma" w:cs="Tahoma"/>
          <w:b/>
        </w:rPr>
        <w:t>12</w:t>
      </w:r>
      <w:r>
        <w:t xml:space="preserve">– </w:t>
      </w:r>
      <w:r w:rsidRPr="002B20FB">
        <w:rPr>
          <w:b/>
        </w:rPr>
        <w:t>ANDAMENTO DEI DELITTI CONTRO IL PATRIMONIO  IN PROVINCIA DI SIENA NEL DECENNIO 2005-2015</w:t>
      </w:r>
    </w:p>
    <w:p w:rsidR="00107735" w:rsidRDefault="00107735" w:rsidP="00107735">
      <w:pPr>
        <w:pStyle w:val="Paragrafoelenco"/>
        <w:jc w:val="both"/>
      </w:pPr>
    </w:p>
    <w:p w:rsidR="00107735" w:rsidRDefault="00107735" w:rsidP="00107735">
      <w:pPr>
        <w:pStyle w:val="Paragrafoelenco"/>
        <w:jc w:val="both"/>
      </w:pPr>
    </w:p>
    <w:p w:rsidR="00107735" w:rsidRPr="003E2BD6" w:rsidRDefault="00107735" w:rsidP="00107735">
      <w:pPr>
        <w:pStyle w:val="Paragrafoelenco"/>
        <w:ind w:left="0"/>
        <w:jc w:val="both"/>
      </w:pPr>
      <w:r>
        <w:rPr>
          <w:noProof/>
          <w:lang w:eastAsia="it-IT"/>
        </w:rPr>
        <w:drawing>
          <wp:inline distT="0" distB="0" distL="0" distR="0">
            <wp:extent cx="6686550" cy="35433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86550" cy="3543300"/>
                    </a:xfrm>
                    <a:prstGeom prst="rect">
                      <a:avLst/>
                    </a:prstGeom>
                    <a:noFill/>
                    <a:ln>
                      <a:noFill/>
                    </a:ln>
                  </pic:spPr>
                </pic:pic>
              </a:graphicData>
            </a:graphic>
          </wp:inline>
        </w:drawing>
      </w:r>
    </w:p>
    <w:p w:rsidR="00107735" w:rsidRDefault="00107735" w:rsidP="00107735">
      <w:pPr>
        <w:pStyle w:val="Paragrafoelenco"/>
        <w:jc w:val="both"/>
      </w:pPr>
    </w:p>
    <w:p w:rsidR="00107735" w:rsidRDefault="00107735" w:rsidP="00107735">
      <w:pPr>
        <w:pStyle w:val="Paragrafoelenco"/>
        <w:jc w:val="both"/>
      </w:pPr>
    </w:p>
    <w:p w:rsidR="00107735" w:rsidRDefault="00107735" w:rsidP="00107735">
      <w:pPr>
        <w:pStyle w:val="Paragrafoelenco"/>
        <w:jc w:val="both"/>
      </w:pPr>
    </w:p>
    <w:p w:rsidR="00107735" w:rsidRDefault="00107735" w:rsidP="00107735">
      <w:pPr>
        <w:pStyle w:val="Paragrafoelenco"/>
        <w:jc w:val="both"/>
      </w:pPr>
    </w:p>
    <w:p w:rsidR="00107735" w:rsidRDefault="0087286D" w:rsidP="0087286D">
      <w:pPr>
        <w:pStyle w:val="Paragrafoelenco"/>
        <w:ind w:left="0"/>
        <w:jc w:val="both"/>
      </w:pPr>
      <w:r>
        <w:rPr>
          <w:noProof/>
          <w:lang w:eastAsia="it-IT"/>
        </w:rPr>
        <w:drawing>
          <wp:inline distT="0" distB="0" distL="0" distR="0" wp14:anchorId="5231A0C9" wp14:editId="39A224D6">
            <wp:extent cx="6536465" cy="299085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537957" cy="2991533"/>
                    </a:xfrm>
                    <a:prstGeom prst="rect">
                      <a:avLst/>
                    </a:prstGeom>
                  </pic:spPr>
                </pic:pic>
              </a:graphicData>
            </a:graphic>
          </wp:inline>
        </w:drawing>
      </w:r>
    </w:p>
    <w:p w:rsidR="00107735" w:rsidRDefault="00107735" w:rsidP="00107735">
      <w:pPr>
        <w:pStyle w:val="Paragrafoelenco"/>
        <w:jc w:val="both"/>
      </w:pPr>
    </w:p>
    <w:p w:rsidR="00107735" w:rsidRDefault="00107735" w:rsidP="00107735">
      <w:pPr>
        <w:pStyle w:val="Paragrafoelenco"/>
        <w:tabs>
          <w:tab w:val="left" w:pos="2853"/>
        </w:tabs>
        <w:jc w:val="both"/>
      </w:pPr>
    </w:p>
    <w:p w:rsidR="00107735" w:rsidRDefault="00107735" w:rsidP="00107735">
      <w:pPr>
        <w:pStyle w:val="Paragrafoelenco"/>
        <w:tabs>
          <w:tab w:val="left" w:pos="2853"/>
        </w:tabs>
        <w:jc w:val="both"/>
      </w:pPr>
    </w:p>
    <w:p w:rsidR="00107735" w:rsidRPr="002B20FB" w:rsidRDefault="00107735" w:rsidP="00107735">
      <w:pPr>
        <w:pStyle w:val="Paragrafoelenco"/>
        <w:ind w:left="0"/>
        <w:jc w:val="both"/>
        <w:rPr>
          <w:b/>
        </w:rPr>
      </w:pPr>
      <w:r w:rsidRPr="0004573A">
        <w:rPr>
          <w:rFonts w:ascii="Tahoma" w:hAnsi="Tahoma" w:cs="Tahoma"/>
          <w:b/>
        </w:rPr>
        <w:t xml:space="preserve">Graf. </w:t>
      </w:r>
      <w:r>
        <w:rPr>
          <w:rFonts w:ascii="Tahoma" w:hAnsi="Tahoma" w:cs="Tahoma"/>
          <w:b/>
        </w:rPr>
        <w:t>13</w:t>
      </w:r>
      <w:r>
        <w:t xml:space="preserve">– </w:t>
      </w:r>
      <w:r w:rsidRPr="002B20FB">
        <w:rPr>
          <w:b/>
        </w:rPr>
        <w:t xml:space="preserve">ANDAMENTO DELLE ALTRE TIPOLOGIE DI DELITTI  IN PROVINCIA DI SIENA NEL DECENNIO 2005-2015 </w:t>
      </w:r>
    </w:p>
    <w:p w:rsidR="00107735" w:rsidRDefault="00107735" w:rsidP="00107735">
      <w:pPr>
        <w:pStyle w:val="Paragrafoelenco"/>
        <w:tabs>
          <w:tab w:val="left" w:pos="2853"/>
        </w:tabs>
        <w:jc w:val="both"/>
      </w:pPr>
    </w:p>
    <w:p w:rsidR="00107735" w:rsidRDefault="00107735" w:rsidP="00107735">
      <w:pPr>
        <w:pStyle w:val="Paragrafoelenco"/>
        <w:tabs>
          <w:tab w:val="left" w:pos="2853"/>
        </w:tabs>
        <w:jc w:val="both"/>
      </w:pPr>
    </w:p>
    <w:p w:rsidR="00107735" w:rsidRPr="003E2BD6" w:rsidRDefault="00107735" w:rsidP="0087286D">
      <w:pPr>
        <w:pStyle w:val="Paragrafoelenco"/>
        <w:tabs>
          <w:tab w:val="left" w:pos="2853"/>
        </w:tabs>
        <w:ind w:left="0"/>
        <w:jc w:val="both"/>
      </w:pPr>
      <w:r>
        <w:rPr>
          <w:noProof/>
          <w:lang w:eastAsia="it-IT"/>
        </w:rPr>
        <w:drawing>
          <wp:inline distT="0" distB="0" distL="0" distR="0">
            <wp:extent cx="6410325" cy="39052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10325" cy="3905250"/>
                    </a:xfrm>
                    <a:prstGeom prst="rect">
                      <a:avLst/>
                    </a:prstGeom>
                    <a:noFill/>
                    <a:ln>
                      <a:noFill/>
                    </a:ln>
                  </pic:spPr>
                </pic:pic>
              </a:graphicData>
            </a:graphic>
          </wp:inline>
        </w:drawing>
      </w:r>
    </w:p>
    <w:p w:rsidR="00107735" w:rsidRDefault="00107735" w:rsidP="00107735">
      <w:pPr>
        <w:pStyle w:val="Paragrafoelenco"/>
        <w:jc w:val="both"/>
      </w:pPr>
    </w:p>
    <w:p w:rsidR="00107735" w:rsidRDefault="00107735" w:rsidP="00107735">
      <w:pPr>
        <w:pStyle w:val="Paragrafoelenco"/>
        <w:jc w:val="both"/>
      </w:pPr>
    </w:p>
    <w:p w:rsidR="00107735" w:rsidRPr="002B20FB" w:rsidRDefault="00107735" w:rsidP="00107735">
      <w:pPr>
        <w:pStyle w:val="Paragrafoelenco"/>
        <w:ind w:left="0"/>
        <w:jc w:val="both"/>
        <w:rPr>
          <w:b/>
        </w:rPr>
      </w:pPr>
      <w:r w:rsidRPr="0004573A">
        <w:rPr>
          <w:rFonts w:ascii="Tahoma" w:hAnsi="Tahoma" w:cs="Tahoma"/>
          <w:b/>
        </w:rPr>
        <w:t xml:space="preserve">Graf. </w:t>
      </w:r>
      <w:r>
        <w:rPr>
          <w:rFonts w:ascii="Tahoma" w:hAnsi="Tahoma" w:cs="Tahoma"/>
          <w:b/>
        </w:rPr>
        <w:t>14</w:t>
      </w:r>
      <w:r>
        <w:t xml:space="preserve">– </w:t>
      </w:r>
      <w:r w:rsidRPr="002B20FB">
        <w:rPr>
          <w:b/>
        </w:rPr>
        <w:t xml:space="preserve">ANDAMENTO DEL NUMERO COMPLESSIVO DEI REATI  IN PROVINCIA DI SIENA NEL DECENNIO 2005-2015 </w:t>
      </w:r>
    </w:p>
    <w:p w:rsidR="00107735" w:rsidRPr="002B20FB" w:rsidRDefault="00107735" w:rsidP="00107735">
      <w:pPr>
        <w:pStyle w:val="Paragrafoelenco"/>
        <w:ind w:left="0"/>
        <w:jc w:val="both"/>
        <w:rPr>
          <w:b/>
        </w:rPr>
      </w:pPr>
    </w:p>
    <w:p w:rsidR="00107735" w:rsidRPr="000C2581" w:rsidRDefault="00107735" w:rsidP="00107735">
      <w:pPr>
        <w:pStyle w:val="Paragrafoelenco"/>
        <w:jc w:val="both"/>
      </w:pPr>
    </w:p>
    <w:p w:rsidR="00107735" w:rsidRPr="003E2BD6" w:rsidRDefault="00107735" w:rsidP="0087286D">
      <w:pPr>
        <w:pStyle w:val="Paragrafoelenco"/>
        <w:ind w:left="0"/>
        <w:jc w:val="both"/>
      </w:pPr>
      <w:r>
        <w:rPr>
          <w:noProof/>
          <w:lang w:eastAsia="it-IT"/>
        </w:rPr>
        <w:drawing>
          <wp:inline distT="0" distB="0" distL="0" distR="0">
            <wp:extent cx="6562725" cy="36290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62725" cy="3629025"/>
                    </a:xfrm>
                    <a:prstGeom prst="rect">
                      <a:avLst/>
                    </a:prstGeom>
                    <a:noFill/>
                    <a:ln>
                      <a:noFill/>
                    </a:ln>
                  </pic:spPr>
                </pic:pic>
              </a:graphicData>
            </a:graphic>
          </wp:inline>
        </w:drawing>
      </w:r>
    </w:p>
    <w:p w:rsidR="00107735" w:rsidRPr="00505132" w:rsidRDefault="00107735" w:rsidP="00107735"/>
    <w:p w:rsidR="00107735" w:rsidRDefault="00107735" w:rsidP="00B934F9">
      <w:pPr>
        <w:jc w:val="both"/>
        <w:rPr>
          <w:rFonts w:ascii="Kristen ITC" w:hAnsi="Kristen ITC"/>
          <w:sz w:val="24"/>
          <w:szCs w:val="24"/>
        </w:rPr>
      </w:pPr>
    </w:p>
    <w:p w:rsidR="00B934F9" w:rsidRDefault="00B934F9" w:rsidP="00B934F9">
      <w:pPr>
        <w:jc w:val="both"/>
        <w:rPr>
          <w:rFonts w:ascii="Kristen ITC" w:hAnsi="Kristen ITC"/>
          <w:sz w:val="24"/>
          <w:szCs w:val="24"/>
        </w:rPr>
      </w:pPr>
      <w:r>
        <w:rPr>
          <w:rFonts w:ascii="Kristen ITC" w:hAnsi="Kristen ITC"/>
          <w:sz w:val="24"/>
          <w:szCs w:val="24"/>
        </w:rPr>
        <w:t>Responsabili di Area loro coinvolgimento e gli organi di indirizzo politico</w:t>
      </w:r>
    </w:p>
    <w:p w:rsidR="00B934F9" w:rsidRDefault="00B934F9" w:rsidP="00B934F9">
      <w:pPr>
        <w:jc w:val="both"/>
        <w:rPr>
          <w:rFonts w:ascii="Kristen ITC" w:hAnsi="Kristen ITC"/>
          <w:sz w:val="24"/>
          <w:szCs w:val="24"/>
        </w:rPr>
      </w:pPr>
      <w:r>
        <w:rPr>
          <w:rFonts w:ascii="Kristen ITC" w:hAnsi="Kristen ITC"/>
          <w:sz w:val="24"/>
          <w:szCs w:val="24"/>
        </w:rPr>
        <w:t>Nucleo di Valutazione</w:t>
      </w:r>
    </w:p>
    <w:p w:rsidR="00B934F9" w:rsidRDefault="00B934F9" w:rsidP="00B934F9">
      <w:pPr>
        <w:jc w:val="both"/>
        <w:rPr>
          <w:rFonts w:ascii="Kristen ITC" w:hAnsi="Kristen ITC"/>
          <w:sz w:val="24"/>
          <w:szCs w:val="24"/>
        </w:rPr>
      </w:pPr>
      <w:r>
        <w:rPr>
          <w:rFonts w:ascii="Kristen ITC" w:hAnsi="Kristen ITC"/>
          <w:sz w:val="24"/>
          <w:szCs w:val="24"/>
        </w:rPr>
        <w:t xml:space="preserve">Mappatura dei processi: il concetto esteso di procedimento nella PA (autorizzazioni, concessioni, gestione delle SCIA, gestione del personale, procedure di affidamento lavori, servizi forniture, controlli e sanzioni, incarichi e nomine, pagamento delle fatture, affari legali e contenzioso, pianificazione urbanistica, certificazione anagrafiche, gestione tributi locali, erogazione servizi in particolare area sociale e scolastica) : Ogni attività del Comune regolata da fonte normativa </w:t>
      </w:r>
    </w:p>
    <w:p w:rsidR="00B934F9" w:rsidRDefault="00B934F9" w:rsidP="00B934F9">
      <w:pPr>
        <w:jc w:val="both"/>
        <w:rPr>
          <w:rFonts w:ascii="Kristen ITC" w:hAnsi="Kristen ITC"/>
          <w:sz w:val="24"/>
          <w:szCs w:val="24"/>
        </w:rPr>
      </w:pPr>
      <w:r>
        <w:rPr>
          <w:rFonts w:ascii="Kristen ITC" w:hAnsi="Kristen ITC"/>
          <w:sz w:val="24"/>
          <w:szCs w:val="24"/>
        </w:rPr>
        <w:t>Gestione delle attività a rischio corruzione</w:t>
      </w:r>
    </w:p>
    <w:p w:rsidR="00B934F9" w:rsidRDefault="00B934F9" w:rsidP="00B934F9">
      <w:pPr>
        <w:jc w:val="both"/>
        <w:rPr>
          <w:rFonts w:ascii="Kristen ITC" w:hAnsi="Kristen ITC"/>
          <w:sz w:val="24"/>
          <w:szCs w:val="24"/>
        </w:rPr>
      </w:pPr>
      <w:r>
        <w:rPr>
          <w:rFonts w:ascii="Kristen ITC" w:hAnsi="Kristen ITC"/>
          <w:sz w:val="24"/>
          <w:szCs w:val="24"/>
        </w:rPr>
        <w:t>Coordinamento fra il PTPCT e i controlli interni</w:t>
      </w:r>
    </w:p>
    <w:p w:rsidR="00B934F9" w:rsidRDefault="00B934F9" w:rsidP="00B934F9">
      <w:pPr>
        <w:jc w:val="both"/>
        <w:rPr>
          <w:rFonts w:ascii="Kristen ITC" w:hAnsi="Kristen ITC"/>
          <w:sz w:val="24"/>
          <w:szCs w:val="24"/>
        </w:rPr>
      </w:pPr>
      <w:r>
        <w:rPr>
          <w:rFonts w:ascii="Kristen ITC" w:hAnsi="Kristen ITC"/>
          <w:sz w:val="24"/>
          <w:szCs w:val="24"/>
        </w:rPr>
        <w:t>Gestione delle segnalazioni</w:t>
      </w:r>
    </w:p>
    <w:p w:rsidR="00B934F9" w:rsidRDefault="00B934F9" w:rsidP="00B934F9">
      <w:pPr>
        <w:jc w:val="both"/>
        <w:rPr>
          <w:rFonts w:ascii="Kristen ITC" w:hAnsi="Kristen ITC"/>
          <w:sz w:val="24"/>
          <w:szCs w:val="24"/>
        </w:rPr>
      </w:pPr>
      <w:r>
        <w:rPr>
          <w:rFonts w:ascii="Kristen ITC" w:hAnsi="Kristen ITC"/>
          <w:sz w:val="24"/>
          <w:szCs w:val="24"/>
        </w:rPr>
        <w:t>Gestione della performance</w:t>
      </w:r>
    </w:p>
    <w:p w:rsidR="00B934F9" w:rsidRDefault="00B934F9" w:rsidP="00B934F9">
      <w:pPr>
        <w:jc w:val="both"/>
        <w:rPr>
          <w:rFonts w:ascii="Kristen ITC" w:hAnsi="Kristen ITC"/>
          <w:sz w:val="24"/>
          <w:szCs w:val="24"/>
        </w:rPr>
      </w:pPr>
      <w:r>
        <w:rPr>
          <w:rFonts w:ascii="Kristen ITC" w:hAnsi="Kristen ITC"/>
          <w:sz w:val="24"/>
          <w:szCs w:val="24"/>
        </w:rPr>
        <w:t xml:space="preserve">Audit interni e Formazione </w:t>
      </w:r>
    </w:p>
    <w:p w:rsidR="00B934F9" w:rsidRDefault="00B934F9" w:rsidP="00B934F9">
      <w:pPr>
        <w:jc w:val="both"/>
        <w:rPr>
          <w:rFonts w:ascii="Kristen ITC" w:hAnsi="Kristen ITC"/>
          <w:sz w:val="24"/>
          <w:szCs w:val="24"/>
        </w:rPr>
      </w:pPr>
      <w:r>
        <w:rPr>
          <w:rFonts w:ascii="Kristen ITC" w:hAnsi="Kristen ITC"/>
          <w:sz w:val="24"/>
          <w:szCs w:val="24"/>
        </w:rPr>
        <w:t xml:space="preserve">Task Force anticorruzione  - La Leadership etica dei Responsabili di Area e P.O.  </w:t>
      </w:r>
    </w:p>
    <w:p w:rsidR="00B934F9" w:rsidRDefault="00B934F9" w:rsidP="00B934F9">
      <w:pPr>
        <w:jc w:val="both"/>
        <w:rPr>
          <w:rFonts w:ascii="Kristen ITC" w:hAnsi="Kristen ITC"/>
          <w:sz w:val="24"/>
          <w:szCs w:val="24"/>
        </w:rPr>
      </w:pPr>
      <w:r>
        <w:rPr>
          <w:rFonts w:ascii="Kristen ITC" w:hAnsi="Kristen ITC"/>
          <w:sz w:val="24"/>
          <w:szCs w:val="24"/>
        </w:rPr>
        <w:t>Aggiornamento e miglioramento sistematico costante</w:t>
      </w:r>
    </w:p>
    <w:p w:rsidR="00B934F9" w:rsidRDefault="00B934F9" w:rsidP="00B934F9">
      <w:pPr>
        <w:jc w:val="both"/>
        <w:rPr>
          <w:rFonts w:ascii="Kristen ITC" w:hAnsi="Kristen ITC"/>
          <w:sz w:val="24"/>
          <w:szCs w:val="24"/>
        </w:rPr>
      </w:pPr>
      <w:r>
        <w:rPr>
          <w:rFonts w:ascii="Kristen ITC" w:hAnsi="Kristen ITC"/>
          <w:sz w:val="24"/>
          <w:szCs w:val="24"/>
        </w:rPr>
        <w:t xml:space="preserve">Enti Locali e Partecipate – Linee Guida ANAC </w:t>
      </w:r>
    </w:p>
    <w:p w:rsidR="005470C8" w:rsidRDefault="005470C8" w:rsidP="00B934F9">
      <w:pPr>
        <w:jc w:val="both"/>
        <w:rPr>
          <w:rFonts w:ascii="Kristen ITC" w:hAnsi="Kristen ITC"/>
          <w:sz w:val="24"/>
          <w:szCs w:val="24"/>
        </w:rPr>
      </w:pPr>
    </w:p>
    <w:p w:rsidR="005470C8" w:rsidRDefault="00BA1EE0" w:rsidP="00B934F9">
      <w:pPr>
        <w:jc w:val="both"/>
        <w:rPr>
          <w:rFonts w:ascii="Kristen ITC" w:hAnsi="Kristen ITC"/>
          <w:color w:val="002060"/>
          <w:sz w:val="24"/>
          <w:szCs w:val="24"/>
        </w:rPr>
      </w:pPr>
      <w:r>
        <w:rPr>
          <w:rFonts w:ascii="Kristen ITC" w:hAnsi="Kristen ITC"/>
          <w:color w:val="002060"/>
          <w:sz w:val="24"/>
          <w:szCs w:val="24"/>
        </w:rPr>
        <w:t xml:space="preserve">I Temi – obiettivo sopra specificati  saranno </w:t>
      </w:r>
      <w:r w:rsidR="005470C8" w:rsidRPr="00CF3E75">
        <w:rPr>
          <w:rFonts w:ascii="Kristen ITC" w:hAnsi="Kristen ITC"/>
          <w:color w:val="002060"/>
          <w:sz w:val="24"/>
          <w:szCs w:val="24"/>
        </w:rPr>
        <w:t xml:space="preserve"> </w:t>
      </w:r>
      <w:r>
        <w:rPr>
          <w:rFonts w:ascii="Kristen ITC" w:hAnsi="Kristen ITC"/>
          <w:color w:val="002060"/>
          <w:sz w:val="24"/>
          <w:szCs w:val="24"/>
        </w:rPr>
        <w:t xml:space="preserve">oggetto </w:t>
      </w:r>
      <w:r w:rsidR="005470C8" w:rsidRPr="00CF3E75">
        <w:rPr>
          <w:rFonts w:ascii="Kristen ITC" w:hAnsi="Kristen ITC"/>
          <w:color w:val="002060"/>
          <w:sz w:val="24"/>
          <w:szCs w:val="24"/>
        </w:rPr>
        <w:t>di approfondimenti ed elaborazioni nel corso dell’anno</w:t>
      </w:r>
      <w:r>
        <w:rPr>
          <w:rFonts w:ascii="Kristen ITC" w:hAnsi="Kristen ITC"/>
          <w:color w:val="002060"/>
          <w:sz w:val="24"/>
          <w:szCs w:val="24"/>
        </w:rPr>
        <w:t xml:space="preserve"> unitamente a</w:t>
      </w:r>
      <w:r w:rsidR="004437A9">
        <w:rPr>
          <w:rFonts w:ascii="Kristen ITC" w:hAnsi="Kristen ITC"/>
          <w:color w:val="002060"/>
          <w:sz w:val="24"/>
          <w:szCs w:val="24"/>
        </w:rPr>
        <w:t xml:space="preserve"> formazione</w:t>
      </w:r>
      <w:r>
        <w:rPr>
          <w:rFonts w:ascii="Kristen ITC" w:hAnsi="Kristen ITC"/>
          <w:color w:val="002060"/>
          <w:sz w:val="24"/>
          <w:szCs w:val="24"/>
        </w:rPr>
        <w:t xml:space="preserve"> specializzata</w:t>
      </w:r>
      <w:r w:rsidR="005470C8" w:rsidRPr="00CF3E75">
        <w:rPr>
          <w:rFonts w:ascii="Kristen ITC" w:hAnsi="Kristen ITC"/>
          <w:color w:val="002060"/>
          <w:sz w:val="24"/>
          <w:szCs w:val="24"/>
        </w:rPr>
        <w:t xml:space="preserve">. </w:t>
      </w:r>
      <w:r w:rsidR="00455315" w:rsidRPr="00CF3E75">
        <w:rPr>
          <w:rFonts w:ascii="Kristen ITC" w:hAnsi="Kristen ITC"/>
          <w:color w:val="002060"/>
          <w:sz w:val="24"/>
          <w:szCs w:val="24"/>
        </w:rPr>
        <w:t>Il Documento costituisce obiettivo fondamentale della performance per i Responsabili di Area P.O. alla cui responsabilità, ciascuno per l’area di competenza, viene consegnato per la gestione ed attuazione relativa.</w:t>
      </w:r>
      <w:r>
        <w:rPr>
          <w:rFonts w:ascii="Kristen ITC" w:hAnsi="Kristen ITC"/>
          <w:color w:val="002060"/>
          <w:sz w:val="24"/>
          <w:szCs w:val="24"/>
        </w:rPr>
        <w:t xml:space="preserve"> Per quanto non espressamente trattato si conferma il contenuto esplicitato nel Piano vigente. </w:t>
      </w:r>
      <w:r w:rsidR="00455315" w:rsidRPr="00CF3E75">
        <w:rPr>
          <w:rFonts w:ascii="Kristen ITC" w:hAnsi="Kristen ITC"/>
          <w:color w:val="002060"/>
          <w:sz w:val="24"/>
          <w:szCs w:val="24"/>
        </w:rPr>
        <w:t xml:space="preserve"> Il Documento è altresì conse</w:t>
      </w:r>
      <w:r w:rsidR="004437A9">
        <w:rPr>
          <w:rFonts w:ascii="Kristen ITC" w:hAnsi="Kristen ITC"/>
          <w:color w:val="002060"/>
          <w:sz w:val="24"/>
          <w:szCs w:val="24"/>
        </w:rPr>
        <w:t>gnato alle Partecipate Comu</w:t>
      </w:r>
      <w:r>
        <w:rPr>
          <w:rFonts w:ascii="Kristen ITC" w:hAnsi="Kristen ITC"/>
          <w:color w:val="002060"/>
          <w:sz w:val="24"/>
          <w:szCs w:val="24"/>
        </w:rPr>
        <w:t xml:space="preserve">nali, </w:t>
      </w:r>
      <w:r w:rsidR="00960F27">
        <w:rPr>
          <w:rFonts w:ascii="Kristen ITC" w:hAnsi="Kristen ITC"/>
          <w:color w:val="002060"/>
          <w:sz w:val="24"/>
          <w:szCs w:val="24"/>
        </w:rPr>
        <w:t xml:space="preserve"> al Nucleo di Valutazione al Presidente dell’Unione dei Comuni della </w:t>
      </w:r>
      <w:proofErr w:type="spellStart"/>
      <w:r w:rsidR="00960F27">
        <w:rPr>
          <w:rFonts w:ascii="Kristen ITC" w:hAnsi="Kristen ITC"/>
          <w:color w:val="002060"/>
          <w:sz w:val="24"/>
          <w:szCs w:val="24"/>
        </w:rPr>
        <w:t>Valdichiana</w:t>
      </w:r>
      <w:proofErr w:type="spellEnd"/>
      <w:r w:rsidR="00960F27">
        <w:rPr>
          <w:rFonts w:ascii="Kristen ITC" w:hAnsi="Kristen ITC"/>
          <w:color w:val="002060"/>
          <w:sz w:val="24"/>
          <w:szCs w:val="24"/>
        </w:rPr>
        <w:t xml:space="preserve">. </w:t>
      </w:r>
      <w:r w:rsidR="00864791">
        <w:rPr>
          <w:rFonts w:ascii="Kristen ITC" w:hAnsi="Kristen ITC"/>
          <w:color w:val="002060"/>
          <w:sz w:val="24"/>
          <w:szCs w:val="24"/>
        </w:rPr>
        <w:t xml:space="preserve"> Contestualmente si fa rinvio alla FAQ  in materia di trasparenza disponibile sul sito ANAC,  di cui si riproduce  il relativo indice:</w:t>
      </w:r>
    </w:p>
    <w:p w:rsidR="00864791" w:rsidRPr="00864791" w:rsidRDefault="001406AD" w:rsidP="00864791">
      <w:pPr>
        <w:spacing w:before="100" w:beforeAutospacing="1" w:after="100" w:afterAutospacing="1" w:line="240" w:lineRule="auto"/>
        <w:rPr>
          <w:rFonts w:ascii="Times New Roman" w:eastAsia="Times New Roman" w:hAnsi="Times New Roman"/>
          <w:sz w:val="24"/>
          <w:szCs w:val="24"/>
          <w:lang w:eastAsia="it-IT"/>
        </w:rPr>
      </w:pPr>
      <w:hyperlink r:id="rId21" w:anchor="1" w:tooltip="Quesiti di natura generale (artt. 2,4,7,8,9)" w:history="1">
        <w:r w:rsidR="00864791" w:rsidRPr="00864791">
          <w:rPr>
            <w:rFonts w:ascii="Times New Roman" w:eastAsia="Times New Roman" w:hAnsi="Times New Roman"/>
            <w:color w:val="0000FF"/>
            <w:sz w:val="24"/>
            <w:szCs w:val="24"/>
            <w:u w:val="single"/>
            <w:lang w:eastAsia="it-IT"/>
          </w:rPr>
          <w:t>1- Quesiti di natura generale (artt. 2,4,7,8,9)</w:t>
        </w:r>
      </w:hyperlink>
    </w:p>
    <w:p w:rsidR="00864791" w:rsidRPr="00864791" w:rsidRDefault="001406AD" w:rsidP="00864791">
      <w:pPr>
        <w:spacing w:before="100" w:beforeAutospacing="1" w:after="100" w:afterAutospacing="1" w:line="240" w:lineRule="auto"/>
        <w:rPr>
          <w:rFonts w:ascii="Times New Roman" w:eastAsia="Times New Roman" w:hAnsi="Times New Roman"/>
          <w:sz w:val="24"/>
          <w:szCs w:val="24"/>
          <w:lang w:eastAsia="it-IT"/>
        </w:rPr>
      </w:pPr>
      <w:hyperlink r:id="rId22" w:anchor="2" w:tooltip="Accesso civico (art. 5 comma 1)" w:history="1">
        <w:r w:rsidR="00864791" w:rsidRPr="00864791">
          <w:rPr>
            <w:rFonts w:ascii="Times New Roman" w:eastAsia="Times New Roman" w:hAnsi="Times New Roman"/>
            <w:color w:val="0000FF"/>
            <w:sz w:val="24"/>
            <w:szCs w:val="24"/>
            <w:u w:val="single"/>
            <w:lang w:eastAsia="it-IT"/>
          </w:rPr>
          <w:t>2- Accesso civico (art. 5  comma 1</w:t>
        </w:r>
      </w:hyperlink>
      <w:hyperlink r:id="rId23" w:anchor="2" w:tooltip="Accesso civico (art. 5)" w:history="1">
        <w:r w:rsidR="00864791" w:rsidRPr="00864791">
          <w:rPr>
            <w:rFonts w:ascii="Times New Roman" w:eastAsia="Times New Roman" w:hAnsi="Times New Roman"/>
            <w:color w:val="0000FF"/>
            <w:sz w:val="24"/>
            <w:szCs w:val="24"/>
            <w:u w:val="single"/>
            <w:lang w:eastAsia="it-IT"/>
          </w:rPr>
          <w:t>)</w:t>
        </w:r>
      </w:hyperlink>
    </w:p>
    <w:p w:rsidR="00864791" w:rsidRPr="00864791" w:rsidRDefault="001406AD" w:rsidP="00864791">
      <w:pPr>
        <w:spacing w:before="100" w:beforeAutospacing="1" w:after="100" w:afterAutospacing="1" w:line="240" w:lineRule="auto"/>
        <w:rPr>
          <w:rFonts w:ascii="Times New Roman" w:eastAsia="Times New Roman" w:hAnsi="Times New Roman"/>
          <w:sz w:val="24"/>
          <w:szCs w:val="24"/>
          <w:lang w:eastAsia="it-IT"/>
        </w:rPr>
      </w:pPr>
      <w:hyperlink r:id="rId24" w:anchor="25" w:tooltip="Accesso generalizzato (art. 5 comma 2)" w:history="1">
        <w:r w:rsidR="00864791" w:rsidRPr="00864791">
          <w:rPr>
            <w:rFonts w:ascii="Times New Roman" w:eastAsia="Times New Roman" w:hAnsi="Times New Roman"/>
            <w:color w:val="0000FF"/>
            <w:sz w:val="24"/>
            <w:szCs w:val="24"/>
            <w:u w:val="single"/>
            <w:lang w:eastAsia="it-IT"/>
          </w:rPr>
          <w:t>2bis - Accesso generalizzato (art. 5 comma 2</w:t>
        </w:r>
      </w:hyperlink>
      <w:hyperlink r:id="rId25" w:anchor="25" w:tooltip="Accesso generalizzato (art. 5 comma 2)" w:history="1">
        <w:r w:rsidR="00864791" w:rsidRPr="00864791">
          <w:rPr>
            <w:rFonts w:ascii="Times New Roman" w:eastAsia="Times New Roman" w:hAnsi="Times New Roman"/>
            <w:color w:val="0000FF"/>
            <w:sz w:val="24"/>
            <w:szCs w:val="24"/>
            <w:u w:val="single"/>
            <w:lang w:eastAsia="it-IT"/>
          </w:rPr>
          <w:t>)</w:t>
        </w:r>
      </w:hyperlink>
    </w:p>
    <w:p w:rsidR="00864791" w:rsidRPr="00864791" w:rsidRDefault="001406AD" w:rsidP="00864791">
      <w:pPr>
        <w:spacing w:before="100" w:beforeAutospacing="1" w:after="100" w:afterAutospacing="1" w:line="240" w:lineRule="auto"/>
        <w:rPr>
          <w:rFonts w:ascii="Times New Roman" w:eastAsia="Times New Roman" w:hAnsi="Times New Roman"/>
          <w:sz w:val="24"/>
          <w:szCs w:val="24"/>
          <w:lang w:eastAsia="it-IT"/>
        </w:rPr>
      </w:pPr>
      <w:hyperlink r:id="rId26" w:anchor="3" w:tooltip="Programma triennale per la trasparenza e l’integrità (art.10)" w:history="1">
        <w:r w:rsidR="00864791" w:rsidRPr="00864791">
          <w:rPr>
            <w:rFonts w:ascii="Times New Roman" w:eastAsia="Times New Roman" w:hAnsi="Times New Roman"/>
            <w:color w:val="0000FF"/>
            <w:sz w:val="24"/>
            <w:szCs w:val="24"/>
            <w:u w:val="single"/>
            <w:lang w:eastAsia="it-IT"/>
          </w:rPr>
          <w:t>3- Programma triennale per la trasparenza e l’integrità (art.10)</w:t>
        </w:r>
      </w:hyperlink>
    </w:p>
    <w:p w:rsidR="00864791" w:rsidRPr="00864791" w:rsidRDefault="001406AD" w:rsidP="00864791">
      <w:pPr>
        <w:spacing w:before="100" w:beforeAutospacing="1" w:after="100" w:afterAutospacing="1" w:line="240" w:lineRule="auto"/>
        <w:rPr>
          <w:rFonts w:ascii="Times New Roman" w:eastAsia="Times New Roman" w:hAnsi="Times New Roman"/>
          <w:sz w:val="24"/>
          <w:szCs w:val="24"/>
          <w:lang w:eastAsia="it-IT"/>
        </w:rPr>
      </w:pPr>
      <w:hyperlink r:id="rId27" w:anchor="4" w:tooltip="Ambito soggettivo di applicazione (art. 11)" w:history="1">
        <w:r w:rsidR="00864791" w:rsidRPr="00864791">
          <w:rPr>
            <w:rFonts w:ascii="Times New Roman" w:eastAsia="Times New Roman" w:hAnsi="Times New Roman"/>
            <w:color w:val="0000FF"/>
            <w:sz w:val="24"/>
            <w:szCs w:val="24"/>
            <w:u w:val="single"/>
            <w:lang w:eastAsia="it-IT"/>
          </w:rPr>
          <w:t>4- Ambito soggettivo di applicazione (art. 11)</w:t>
        </w:r>
      </w:hyperlink>
    </w:p>
    <w:p w:rsidR="00864791" w:rsidRPr="00864791" w:rsidRDefault="001406AD" w:rsidP="00864791">
      <w:pPr>
        <w:spacing w:before="100" w:beforeAutospacing="1" w:after="100" w:afterAutospacing="1" w:line="240" w:lineRule="auto"/>
        <w:rPr>
          <w:rFonts w:ascii="Times New Roman" w:eastAsia="Times New Roman" w:hAnsi="Times New Roman"/>
          <w:sz w:val="24"/>
          <w:szCs w:val="24"/>
          <w:lang w:eastAsia="it-IT"/>
        </w:rPr>
      </w:pPr>
      <w:hyperlink r:id="rId28" w:anchor="4bis" w:tooltip="Pubblicazione degli atti di carattere normativo ed amministrativo generale" w:history="1">
        <w:r w:rsidR="00864791" w:rsidRPr="00864791">
          <w:rPr>
            <w:rFonts w:ascii="Times New Roman" w:eastAsia="Times New Roman" w:hAnsi="Times New Roman"/>
            <w:color w:val="0000FF"/>
            <w:sz w:val="24"/>
            <w:szCs w:val="24"/>
            <w:u w:val="single"/>
            <w:lang w:eastAsia="it-IT"/>
          </w:rPr>
          <w:t>4bis - Pubblicazione degli atti di carattere normativo ed amministrativo generale</w:t>
        </w:r>
      </w:hyperlink>
    </w:p>
    <w:p w:rsidR="00864791" w:rsidRPr="00864791" w:rsidRDefault="001406AD" w:rsidP="00864791">
      <w:pPr>
        <w:spacing w:before="100" w:beforeAutospacing="1" w:after="100" w:afterAutospacing="1" w:line="240" w:lineRule="auto"/>
        <w:rPr>
          <w:rFonts w:ascii="Times New Roman" w:eastAsia="Times New Roman" w:hAnsi="Times New Roman"/>
          <w:sz w:val="24"/>
          <w:szCs w:val="24"/>
          <w:lang w:eastAsia="it-IT"/>
        </w:rPr>
      </w:pPr>
      <w:hyperlink r:id="rId29" w:anchor="5" w:tooltip="Pubblicazione dei dati concernenti i titolari di incarichi politici o di indirizzo politico (art. 14)" w:history="1">
        <w:r w:rsidR="00864791" w:rsidRPr="00864791">
          <w:rPr>
            <w:rFonts w:ascii="Times New Roman" w:eastAsia="Times New Roman" w:hAnsi="Times New Roman"/>
            <w:color w:val="0000FF"/>
            <w:sz w:val="24"/>
            <w:szCs w:val="24"/>
            <w:u w:val="single"/>
            <w:lang w:eastAsia="it-IT"/>
          </w:rPr>
          <w:t>5- Pubblicazione dei dati concernenti i titolari di incarichi politici o di indirizzo politico (art. 14)</w:t>
        </w:r>
      </w:hyperlink>
    </w:p>
    <w:p w:rsidR="00864791" w:rsidRPr="00864791" w:rsidRDefault="001406AD" w:rsidP="00864791">
      <w:pPr>
        <w:spacing w:before="100" w:beforeAutospacing="1" w:after="100" w:afterAutospacing="1" w:line="240" w:lineRule="auto"/>
        <w:rPr>
          <w:rFonts w:ascii="Times New Roman" w:eastAsia="Times New Roman" w:hAnsi="Times New Roman"/>
          <w:sz w:val="24"/>
          <w:szCs w:val="24"/>
          <w:lang w:eastAsia="it-IT"/>
        </w:rPr>
      </w:pPr>
      <w:hyperlink r:id="rId30" w:anchor="6" w:tooltip="Pubblicazione dei dati concernenti i titolari di incarichi dirigenziali e di collaborazione o consulenza (art.15)" w:history="1">
        <w:r w:rsidR="00864791" w:rsidRPr="00864791">
          <w:rPr>
            <w:rFonts w:ascii="Times New Roman" w:eastAsia="Times New Roman" w:hAnsi="Times New Roman"/>
            <w:color w:val="0000FF"/>
            <w:sz w:val="24"/>
            <w:szCs w:val="24"/>
            <w:u w:val="single"/>
            <w:lang w:eastAsia="it-IT"/>
          </w:rPr>
          <w:t>6- Pubblicazione dei dati concernenti i titolari di incarichi dirigenziali e di collaborazione o consulenza (art.15)</w:t>
        </w:r>
      </w:hyperlink>
    </w:p>
    <w:p w:rsidR="00864791" w:rsidRPr="00864791" w:rsidRDefault="001406AD" w:rsidP="00864791">
      <w:pPr>
        <w:spacing w:before="100" w:beforeAutospacing="1" w:after="100" w:afterAutospacing="1" w:line="240" w:lineRule="auto"/>
        <w:rPr>
          <w:rFonts w:ascii="Times New Roman" w:eastAsia="Times New Roman" w:hAnsi="Times New Roman"/>
          <w:sz w:val="24"/>
          <w:szCs w:val="24"/>
          <w:lang w:eastAsia="it-IT"/>
        </w:rPr>
      </w:pPr>
      <w:hyperlink r:id="rId31" w:anchor="7" w:tooltip="Pubblicazione dei dati concernenti il personale (artt. 16 e 17)" w:history="1">
        <w:r w:rsidR="00864791" w:rsidRPr="00864791">
          <w:rPr>
            <w:rFonts w:ascii="Times New Roman" w:eastAsia="Times New Roman" w:hAnsi="Times New Roman"/>
            <w:color w:val="0000FF"/>
            <w:sz w:val="24"/>
            <w:szCs w:val="24"/>
            <w:u w:val="single"/>
            <w:lang w:eastAsia="it-IT"/>
          </w:rPr>
          <w:t>7- Pubblicazione dei dati concernenti il personale (artt. 16 e 17)</w:t>
        </w:r>
      </w:hyperlink>
    </w:p>
    <w:p w:rsidR="00864791" w:rsidRPr="00864791" w:rsidRDefault="001406AD" w:rsidP="00864791">
      <w:pPr>
        <w:spacing w:before="100" w:beforeAutospacing="1" w:after="100" w:afterAutospacing="1" w:line="240" w:lineRule="auto"/>
        <w:rPr>
          <w:rFonts w:ascii="Times New Roman" w:eastAsia="Times New Roman" w:hAnsi="Times New Roman"/>
          <w:sz w:val="24"/>
          <w:szCs w:val="24"/>
          <w:lang w:eastAsia="it-IT"/>
        </w:rPr>
      </w:pPr>
      <w:hyperlink r:id="rId32" w:anchor="8" w:tooltip="Pubblicazione dei dati relativi agli incarichi conferiti o autorizzati ai dipendenti pubblici (art. 18)" w:history="1">
        <w:r w:rsidR="00864791" w:rsidRPr="00864791">
          <w:rPr>
            <w:rFonts w:ascii="Times New Roman" w:eastAsia="Times New Roman" w:hAnsi="Times New Roman"/>
            <w:color w:val="0000FF"/>
            <w:sz w:val="24"/>
            <w:szCs w:val="24"/>
            <w:u w:val="single"/>
            <w:lang w:eastAsia="it-IT"/>
          </w:rPr>
          <w:t>8- Pubblicazione dei dati relativi agli incarichi conferiti o autorizzati ai dipendenti pubblici (art. 18)</w:t>
        </w:r>
      </w:hyperlink>
    </w:p>
    <w:p w:rsidR="00864791" w:rsidRPr="00864791" w:rsidRDefault="001406AD" w:rsidP="00864791">
      <w:pPr>
        <w:spacing w:before="100" w:beforeAutospacing="1" w:after="100" w:afterAutospacing="1" w:line="240" w:lineRule="auto"/>
        <w:rPr>
          <w:rFonts w:ascii="Times New Roman" w:eastAsia="Times New Roman" w:hAnsi="Times New Roman"/>
          <w:sz w:val="24"/>
          <w:szCs w:val="24"/>
          <w:lang w:eastAsia="it-IT"/>
        </w:rPr>
      </w:pPr>
      <w:hyperlink r:id="rId33" w:anchor="9" w:tooltip="Pubblicazione dei dati relativi ai bandi di concorso (art. 19)" w:history="1">
        <w:r w:rsidR="00864791" w:rsidRPr="00864791">
          <w:rPr>
            <w:rFonts w:ascii="Times New Roman" w:eastAsia="Times New Roman" w:hAnsi="Times New Roman"/>
            <w:color w:val="0000FF"/>
            <w:sz w:val="24"/>
            <w:szCs w:val="24"/>
            <w:u w:val="single"/>
            <w:lang w:eastAsia="it-IT"/>
          </w:rPr>
          <w:t>9- Pubblicazione dei dati relativi ai bandi di concorso (art. 19)</w:t>
        </w:r>
      </w:hyperlink>
    </w:p>
    <w:p w:rsidR="00864791" w:rsidRPr="00864791" w:rsidRDefault="001406AD" w:rsidP="00864791">
      <w:pPr>
        <w:spacing w:before="100" w:beforeAutospacing="1" w:after="100" w:afterAutospacing="1" w:line="240" w:lineRule="auto"/>
        <w:rPr>
          <w:rFonts w:ascii="Times New Roman" w:eastAsia="Times New Roman" w:hAnsi="Times New Roman"/>
          <w:sz w:val="24"/>
          <w:szCs w:val="24"/>
          <w:lang w:eastAsia="it-IT"/>
        </w:rPr>
      </w:pPr>
      <w:hyperlink r:id="rId34" w:anchor="10" w:tooltip="Pubblicazione dei dati relativi agli enti pubblici vigilati, agli enti di diritto privato in controllo pubblico e alle società a partecipazione pubblica (art. 22)" w:history="1">
        <w:r w:rsidR="00864791" w:rsidRPr="00864791">
          <w:rPr>
            <w:rFonts w:ascii="Times New Roman" w:eastAsia="Times New Roman" w:hAnsi="Times New Roman"/>
            <w:color w:val="0000FF"/>
            <w:sz w:val="24"/>
            <w:szCs w:val="24"/>
            <w:u w:val="single"/>
            <w:lang w:eastAsia="it-IT"/>
          </w:rPr>
          <w:t>10- Pubblicazione dei dati relativi agli enti pubblici vigilati, agli enti di diritto privato in controllo pubblico e alle società a partecipazione pubblica (art. 22)</w:t>
        </w:r>
      </w:hyperlink>
    </w:p>
    <w:p w:rsidR="00864791" w:rsidRPr="00864791" w:rsidRDefault="001406AD" w:rsidP="00864791">
      <w:pPr>
        <w:spacing w:before="100" w:beforeAutospacing="1" w:after="100" w:afterAutospacing="1" w:line="240" w:lineRule="auto"/>
        <w:rPr>
          <w:rFonts w:ascii="Times New Roman" w:eastAsia="Times New Roman" w:hAnsi="Times New Roman"/>
          <w:sz w:val="24"/>
          <w:szCs w:val="24"/>
          <w:lang w:eastAsia="it-IT"/>
        </w:rPr>
      </w:pPr>
      <w:hyperlink r:id="rId35" w:anchor="11" w:tooltip="Pubblicazione dei dati relativi ai provvedimenti amministrativi (art. 23)" w:history="1">
        <w:r w:rsidR="00864791" w:rsidRPr="00864791">
          <w:rPr>
            <w:rFonts w:ascii="Times New Roman" w:eastAsia="Times New Roman" w:hAnsi="Times New Roman"/>
            <w:color w:val="0000FF"/>
            <w:sz w:val="24"/>
            <w:szCs w:val="24"/>
            <w:u w:val="single"/>
            <w:lang w:eastAsia="it-IT"/>
          </w:rPr>
          <w:t>11- Pubblicazione dei dati relativi ai provvedimenti amministrativi (art. 23)</w:t>
        </w:r>
      </w:hyperlink>
    </w:p>
    <w:p w:rsidR="00864791" w:rsidRPr="00864791" w:rsidRDefault="001406AD" w:rsidP="00864791">
      <w:pPr>
        <w:spacing w:before="100" w:beforeAutospacing="1" w:after="100" w:afterAutospacing="1" w:line="240" w:lineRule="auto"/>
        <w:rPr>
          <w:rFonts w:ascii="Times New Roman" w:eastAsia="Times New Roman" w:hAnsi="Times New Roman"/>
          <w:sz w:val="24"/>
          <w:szCs w:val="24"/>
          <w:lang w:eastAsia="it-IT"/>
        </w:rPr>
      </w:pPr>
      <w:hyperlink r:id="rId36" w:anchor="12" w:tooltip="Pubblicazione dei dati aggregati relativi all’attività amministrativa (art. 24)" w:history="1">
        <w:r w:rsidR="00864791" w:rsidRPr="00864791">
          <w:rPr>
            <w:rFonts w:ascii="Times New Roman" w:eastAsia="Times New Roman" w:hAnsi="Times New Roman"/>
            <w:color w:val="0000FF"/>
            <w:sz w:val="24"/>
            <w:szCs w:val="24"/>
            <w:u w:val="single"/>
            <w:lang w:eastAsia="it-IT"/>
          </w:rPr>
          <w:t>12 - Pubblicazione dei dati aggregati relativi all’attività amministrativa (art. 24)</w:t>
        </w:r>
      </w:hyperlink>
    </w:p>
    <w:p w:rsidR="00864791" w:rsidRPr="00864791" w:rsidRDefault="001406AD" w:rsidP="00864791">
      <w:pPr>
        <w:spacing w:before="100" w:beforeAutospacing="1" w:after="100" w:afterAutospacing="1" w:line="240" w:lineRule="auto"/>
        <w:rPr>
          <w:rFonts w:ascii="Times New Roman" w:eastAsia="Times New Roman" w:hAnsi="Times New Roman"/>
          <w:sz w:val="24"/>
          <w:szCs w:val="24"/>
          <w:lang w:eastAsia="it-IT"/>
        </w:rPr>
      </w:pPr>
      <w:hyperlink r:id="rId37" w:anchor="12bis" w:tooltip="Pubblicazione dei controlli sulle imprese" w:history="1">
        <w:r w:rsidR="00864791" w:rsidRPr="00864791">
          <w:rPr>
            <w:rFonts w:ascii="Times New Roman" w:eastAsia="Times New Roman" w:hAnsi="Times New Roman"/>
            <w:color w:val="0000FF"/>
            <w:sz w:val="24"/>
            <w:szCs w:val="24"/>
            <w:u w:val="single"/>
            <w:lang w:eastAsia="it-IT"/>
          </w:rPr>
          <w:t>12bis- Pubblicazione dei controlli sulle imprese</w:t>
        </w:r>
      </w:hyperlink>
    </w:p>
    <w:p w:rsidR="00864791" w:rsidRPr="00864791" w:rsidRDefault="001406AD" w:rsidP="00864791">
      <w:pPr>
        <w:spacing w:before="100" w:beforeAutospacing="1" w:after="100" w:afterAutospacing="1" w:line="240" w:lineRule="auto"/>
        <w:rPr>
          <w:rFonts w:ascii="Times New Roman" w:eastAsia="Times New Roman" w:hAnsi="Times New Roman"/>
          <w:sz w:val="24"/>
          <w:szCs w:val="24"/>
          <w:lang w:eastAsia="it-IT"/>
        </w:rPr>
      </w:pPr>
      <w:hyperlink r:id="rId38" w:anchor="13" w:tooltip="Pubblicazione dei dati relativi agli atti di concessione di sovvenzioni, contributi, sussidi ed ausili finanziari e di attribuzione di vantaggi economici (artt. 26-27)" w:history="1">
        <w:r w:rsidR="00864791" w:rsidRPr="00864791">
          <w:rPr>
            <w:rFonts w:ascii="Times New Roman" w:eastAsia="Times New Roman" w:hAnsi="Times New Roman"/>
            <w:color w:val="0000FF"/>
            <w:sz w:val="24"/>
            <w:szCs w:val="24"/>
            <w:u w:val="single"/>
            <w:lang w:eastAsia="it-IT"/>
          </w:rPr>
          <w:t>13- Pubblicazione dei dati relativi agli atti di concessione di sovvenzioni, contributi, sussidi ed ausili finanziari e di attribuzione di vantaggi economici (artt. 26-27)</w:t>
        </w:r>
      </w:hyperlink>
    </w:p>
    <w:p w:rsidR="00864791" w:rsidRPr="00864791" w:rsidRDefault="001406AD" w:rsidP="00864791">
      <w:pPr>
        <w:spacing w:before="100" w:beforeAutospacing="1" w:after="100" w:afterAutospacing="1" w:line="240" w:lineRule="auto"/>
        <w:rPr>
          <w:rFonts w:ascii="Times New Roman" w:eastAsia="Times New Roman" w:hAnsi="Times New Roman"/>
          <w:sz w:val="24"/>
          <w:szCs w:val="24"/>
          <w:lang w:eastAsia="it-IT"/>
        </w:rPr>
      </w:pPr>
      <w:hyperlink r:id="rId39" w:anchor="14" w:tooltip="Pubblicazione dei dati relativi alla gestione del patrimonio immobiliare (art. 30)" w:history="1">
        <w:r w:rsidR="00864791" w:rsidRPr="00864791">
          <w:rPr>
            <w:rFonts w:ascii="Times New Roman" w:eastAsia="Times New Roman" w:hAnsi="Times New Roman"/>
            <w:color w:val="0000FF"/>
            <w:sz w:val="24"/>
            <w:szCs w:val="24"/>
            <w:u w:val="single"/>
            <w:lang w:eastAsia="it-IT"/>
          </w:rPr>
          <w:t>14- Pubblicazione dei dati relativi alla gestione del patrimonio immobiliare (art. 30)</w:t>
        </w:r>
      </w:hyperlink>
    </w:p>
    <w:p w:rsidR="00864791" w:rsidRPr="00864791" w:rsidRDefault="001406AD" w:rsidP="00864791">
      <w:pPr>
        <w:spacing w:before="100" w:beforeAutospacing="1" w:after="100" w:afterAutospacing="1" w:line="240" w:lineRule="auto"/>
        <w:rPr>
          <w:rFonts w:ascii="Times New Roman" w:eastAsia="Times New Roman" w:hAnsi="Times New Roman"/>
          <w:sz w:val="24"/>
          <w:szCs w:val="24"/>
          <w:lang w:eastAsia="it-IT"/>
        </w:rPr>
      </w:pPr>
      <w:hyperlink r:id="rId40" w:anchor="15" w:tooltip="Pubblicazione dei dati relativi ai servizi erogati (art. 32)" w:history="1">
        <w:r w:rsidR="00864791" w:rsidRPr="00864791">
          <w:rPr>
            <w:rFonts w:ascii="Times New Roman" w:eastAsia="Times New Roman" w:hAnsi="Times New Roman"/>
            <w:color w:val="0000FF"/>
            <w:sz w:val="24"/>
            <w:szCs w:val="24"/>
            <w:u w:val="single"/>
            <w:lang w:eastAsia="it-IT"/>
          </w:rPr>
          <w:t>15- Pubblicazione dei dati relativi ai servizi erogati (art. 32)</w:t>
        </w:r>
      </w:hyperlink>
    </w:p>
    <w:p w:rsidR="00864791" w:rsidRPr="00864791" w:rsidRDefault="001406AD" w:rsidP="00864791">
      <w:pPr>
        <w:spacing w:before="100" w:beforeAutospacing="1" w:after="100" w:afterAutospacing="1" w:line="240" w:lineRule="auto"/>
        <w:rPr>
          <w:rFonts w:ascii="Times New Roman" w:eastAsia="Times New Roman" w:hAnsi="Times New Roman"/>
          <w:sz w:val="24"/>
          <w:szCs w:val="24"/>
          <w:lang w:eastAsia="it-IT"/>
        </w:rPr>
      </w:pPr>
      <w:hyperlink r:id="rId41" w:anchor="16" w:tooltip="Pubblicazione dei dati relativi ai procedimenti amministrativi (art. 35)" w:history="1">
        <w:r w:rsidR="00864791" w:rsidRPr="00864791">
          <w:rPr>
            <w:rFonts w:ascii="Times New Roman" w:eastAsia="Times New Roman" w:hAnsi="Times New Roman"/>
            <w:color w:val="0000FF"/>
            <w:sz w:val="24"/>
            <w:szCs w:val="24"/>
            <w:u w:val="single"/>
            <w:lang w:eastAsia="it-IT"/>
          </w:rPr>
          <w:t>16- Pubblicazione dei dati relativi ai procedimenti amministrativi (art. 35)</w:t>
        </w:r>
      </w:hyperlink>
    </w:p>
    <w:p w:rsidR="00864791" w:rsidRPr="00864791" w:rsidRDefault="001406AD" w:rsidP="00864791">
      <w:pPr>
        <w:spacing w:before="100" w:beforeAutospacing="1" w:after="100" w:afterAutospacing="1" w:line="240" w:lineRule="auto"/>
        <w:rPr>
          <w:rFonts w:ascii="Times New Roman" w:eastAsia="Times New Roman" w:hAnsi="Times New Roman"/>
          <w:sz w:val="24"/>
          <w:szCs w:val="24"/>
          <w:lang w:eastAsia="it-IT"/>
        </w:rPr>
      </w:pPr>
      <w:hyperlink r:id="rId42" w:anchor="17" w:tooltip="Pubblicazione dei dati relativi ai contratti pubblici di lavori, servizi e forniture (art. 37)" w:history="1">
        <w:r w:rsidR="00864791" w:rsidRPr="00864791">
          <w:rPr>
            <w:rFonts w:ascii="Times New Roman" w:eastAsia="Times New Roman" w:hAnsi="Times New Roman"/>
            <w:color w:val="0000FF"/>
            <w:sz w:val="24"/>
            <w:szCs w:val="24"/>
            <w:u w:val="single"/>
            <w:lang w:eastAsia="it-IT"/>
          </w:rPr>
          <w:t>17- Pubblicazione dei dati relativi ai contratti pubblici di lavori, servizi e forniture (art. 37)</w:t>
        </w:r>
      </w:hyperlink>
    </w:p>
    <w:p w:rsidR="00864791" w:rsidRPr="00864791" w:rsidRDefault="001406AD" w:rsidP="00864791">
      <w:pPr>
        <w:spacing w:before="100" w:beforeAutospacing="1" w:after="100" w:afterAutospacing="1" w:line="240" w:lineRule="auto"/>
        <w:rPr>
          <w:rFonts w:ascii="Times New Roman" w:eastAsia="Times New Roman" w:hAnsi="Times New Roman"/>
          <w:sz w:val="24"/>
          <w:szCs w:val="24"/>
          <w:lang w:eastAsia="it-IT"/>
        </w:rPr>
      </w:pPr>
      <w:hyperlink r:id="rId43" w:anchor="18" w:tooltip="Pubblicazione dei dati relativi ai processi di pianificazione, realizzazione e valutazione delle opere pubbliche (art. 38)" w:history="1">
        <w:r w:rsidR="00864791" w:rsidRPr="00864791">
          <w:rPr>
            <w:rFonts w:ascii="Times New Roman" w:eastAsia="Times New Roman" w:hAnsi="Times New Roman"/>
            <w:color w:val="0000FF"/>
            <w:sz w:val="24"/>
            <w:szCs w:val="24"/>
            <w:u w:val="single"/>
            <w:lang w:eastAsia="it-IT"/>
          </w:rPr>
          <w:t>18- Pubblicazione dei dati relativi ai processi di pianificazione, realizzazione e valutazione delle opere pubbliche (art. 38)</w:t>
        </w:r>
      </w:hyperlink>
    </w:p>
    <w:p w:rsidR="00864791" w:rsidRPr="00864791" w:rsidRDefault="001406AD" w:rsidP="00864791">
      <w:pPr>
        <w:spacing w:before="100" w:beforeAutospacing="1" w:after="100" w:afterAutospacing="1" w:line="240" w:lineRule="auto"/>
        <w:rPr>
          <w:rFonts w:ascii="Times New Roman" w:eastAsia="Times New Roman" w:hAnsi="Times New Roman"/>
          <w:sz w:val="24"/>
          <w:szCs w:val="24"/>
          <w:lang w:eastAsia="it-IT"/>
        </w:rPr>
      </w:pPr>
      <w:hyperlink r:id="rId44" w:anchor="19" w:tooltip="Pubblicazione dei dati relativi all’attività di pianificazione e governo del territorio (art. 39)" w:history="1">
        <w:r w:rsidR="00864791" w:rsidRPr="00864791">
          <w:rPr>
            <w:rFonts w:ascii="Times New Roman" w:eastAsia="Times New Roman" w:hAnsi="Times New Roman"/>
            <w:color w:val="0000FF"/>
            <w:sz w:val="24"/>
            <w:szCs w:val="24"/>
            <w:u w:val="single"/>
            <w:lang w:eastAsia="it-IT"/>
          </w:rPr>
          <w:t>19 -Pubblicazione dei dati relativi all’attività di pianificazione e governo del territorio (art. 39)</w:t>
        </w:r>
      </w:hyperlink>
    </w:p>
    <w:p w:rsidR="00864791" w:rsidRPr="00864791" w:rsidRDefault="001406AD" w:rsidP="00864791">
      <w:pPr>
        <w:spacing w:before="100" w:beforeAutospacing="1" w:after="100" w:afterAutospacing="1" w:line="240" w:lineRule="auto"/>
        <w:rPr>
          <w:rFonts w:ascii="Times New Roman" w:eastAsia="Times New Roman" w:hAnsi="Times New Roman"/>
          <w:sz w:val="24"/>
          <w:szCs w:val="24"/>
          <w:lang w:eastAsia="it-IT"/>
        </w:rPr>
      </w:pPr>
      <w:hyperlink r:id="rId45" w:anchor="19bis" w:tooltip="Pubblicazione delle informazioni ambientali (art. 40)" w:history="1">
        <w:r w:rsidR="00864791" w:rsidRPr="00864791">
          <w:rPr>
            <w:rFonts w:ascii="Times New Roman" w:eastAsia="Times New Roman" w:hAnsi="Times New Roman"/>
            <w:color w:val="0000FF"/>
            <w:sz w:val="24"/>
            <w:szCs w:val="24"/>
            <w:u w:val="single"/>
            <w:lang w:eastAsia="it-IT"/>
          </w:rPr>
          <w:t>19bis- Pubblicazione delle informazioni ambientali (art. 40)</w:t>
        </w:r>
      </w:hyperlink>
    </w:p>
    <w:p w:rsidR="00864791" w:rsidRPr="00864791" w:rsidRDefault="001406AD" w:rsidP="00864791">
      <w:pPr>
        <w:spacing w:before="100" w:beforeAutospacing="1" w:after="100" w:afterAutospacing="1" w:line="240" w:lineRule="auto"/>
        <w:rPr>
          <w:rFonts w:ascii="Times New Roman" w:eastAsia="Times New Roman" w:hAnsi="Times New Roman"/>
          <w:sz w:val="24"/>
          <w:szCs w:val="24"/>
          <w:lang w:eastAsia="it-IT"/>
        </w:rPr>
      </w:pPr>
      <w:hyperlink r:id="rId46" w:anchor="20" w:tooltip="Pubblicazione dei dati relativi al servizio sanitario nazionale (art. 41)" w:history="1">
        <w:r w:rsidR="00864791" w:rsidRPr="00864791">
          <w:rPr>
            <w:rFonts w:ascii="Times New Roman" w:eastAsia="Times New Roman" w:hAnsi="Times New Roman"/>
            <w:color w:val="0000FF"/>
            <w:sz w:val="24"/>
            <w:szCs w:val="24"/>
            <w:u w:val="single"/>
            <w:lang w:eastAsia="it-IT"/>
          </w:rPr>
          <w:t>20- Pubblicazione dei dati relativi al servizio sanitario nazionale (art. 41)</w:t>
        </w:r>
      </w:hyperlink>
    </w:p>
    <w:p w:rsidR="00864791" w:rsidRPr="00864791" w:rsidRDefault="001406AD" w:rsidP="00864791">
      <w:pPr>
        <w:spacing w:before="100" w:beforeAutospacing="1" w:after="100" w:afterAutospacing="1" w:line="240" w:lineRule="auto"/>
        <w:rPr>
          <w:rFonts w:ascii="Times New Roman" w:eastAsia="Times New Roman" w:hAnsi="Times New Roman"/>
          <w:sz w:val="24"/>
          <w:szCs w:val="24"/>
          <w:lang w:eastAsia="it-IT"/>
        </w:rPr>
      </w:pPr>
      <w:hyperlink r:id="rId47" w:anchor="21" w:tooltip="Responsabile della trasparenza (art. 43)" w:history="1">
        <w:r w:rsidR="00864791" w:rsidRPr="00864791">
          <w:rPr>
            <w:rFonts w:ascii="Times New Roman" w:eastAsia="Times New Roman" w:hAnsi="Times New Roman"/>
            <w:color w:val="0000FF"/>
            <w:sz w:val="24"/>
            <w:szCs w:val="24"/>
            <w:u w:val="single"/>
            <w:lang w:eastAsia="it-IT"/>
          </w:rPr>
          <w:t>21- Responsabile della trasparenza (art. 43)</w:t>
        </w:r>
      </w:hyperlink>
    </w:p>
    <w:p w:rsidR="00864791" w:rsidRPr="00864791" w:rsidRDefault="001406AD" w:rsidP="00864791">
      <w:pPr>
        <w:spacing w:before="100" w:beforeAutospacing="1" w:after="100" w:afterAutospacing="1" w:line="240" w:lineRule="auto"/>
        <w:rPr>
          <w:rFonts w:ascii="Times New Roman" w:eastAsia="Times New Roman" w:hAnsi="Times New Roman"/>
          <w:sz w:val="24"/>
          <w:szCs w:val="24"/>
          <w:lang w:eastAsia="it-IT"/>
        </w:rPr>
      </w:pPr>
      <w:hyperlink r:id="rId48" w:anchor="22" w:tooltip="22- Organismi indipendenti di valutazione (OIV) (art. 44)" w:history="1">
        <w:r w:rsidR="00864791" w:rsidRPr="00864791">
          <w:rPr>
            <w:rFonts w:ascii="Times New Roman" w:eastAsia="Times New Roman" w:hAnsi="Times New Roman"/>
            <w:color w:val="0000FF"/>
            <w:sz w:val="24"/>
            <w:szCs w:val="24"/>
            <w:u w:val="single"/>
            <w:lang w:eastAsia="it-IT"/>
          </w:rPr>
          <w:t>22- Organismi indipendenti di valutazione (OIV) (art. 44)</w:t>
        </w:r>
      </w:hyperlink>
    </w:p>
    <w:p w:rsidR="00864791" w:rsidRPr="00864791" w:rsidRDefault="001406AD" w:rsidP="00864791">
      <w:pPr>
        <w:spacing w:before="100" w:beforeAutospacing="1" w:after="100" w:afterAutospacing="1" w:line="240" w:lineRule="auto"/>
        <w:rPr>
          <w:rFonts w:ascii="Times New Roman" w:eastAsia="Times New Roman" w:hAnsi="Times New Roman"/>
          <w:sz w:val="24"/>
          <w:szCs w:val="24"/>
          <w:lang w:eastAsia="it-IT"/>
        </w:rPr>
      </w:pPr>
      <w:hyperlink r:id="rId49" w:anchor="23" w:tooltip="23- Violazione degli obblighi di trasparenza e sanzioni (art. 47)" w:history="1">
        <w:r w:rsidR="00864791" w:rsidRPr="00864791">
          <w:rPr>
            <w:rFonts w:ascii="Times New Roman" w:eastAsia="Times New Roman" w:hAnsi="Times New Roman"/>
            <w:color w:val="0000FF"/>
            <w:sz w:val="24"/>
            <w:szCs w:val="24"/>
            <w:u w:val="single"/>
            <w:lang w:eastAsia="it-IT"/>
          </w:rPr>
          <w:t>23- Violazione degli obblighi di trasparenza e sanzioni (art. 47)</w:t>
        </w:r>
      </w:hyperlink>
    </w:p>
    <w:p w:rsidR="00864791" w:rsidRPr="00864791" w:rsidRDefault="001406AD" w:rsidP="00864791">
      <w:pPr>
        <w:spacing w:before="100" w:beforeAutospacing="1" w:after="100" w:afterAutospacing="1" w:line="240" w:lineRule="auto"/>
        <w:rPr>
          <w:rFonts w:ascii="Times New Roman" w:eastAsia="Times New Roman" w:hAnsi="Times New Roman"/>
          <w:sz w:val="24"/>
          <w:szCs w:val="24"/>
          <w:lang w:eastAsia="it-IT"/>
        </w:rPr>
      </w:pPr>
      <w:hyperlink r:id="rId50" w:anchor="24" w:tooltip="24- Argomenti vari non riconducibili a specifici articoli del d.lgs. n. 33/2013" w:history="1">
        <w:r w:rsidR="00864791" w:rsidRPr="00864791">
          <w:rPr>
            <w:rFonts w:ascii="Times New Roman" w:eastAsia="Times New Roman" w:hAnsi="Times New Roman"/>
            <w:color w:val="0000FF"/>
            <w:sz w:val="24"/>
            <w:szCs w:val="24"/>
            <w:u w:val="single"/>
            <w:lang w:eastAsia="it-IT"/>
          </w:rPr>
          <w:t>24- Argomenti vari non riconducibili a specifici articoli del d.lgs. n. 33/2013</w:t>
        </w:r>
      </w:hyperlink>
    </w:p>
    <w:p w:rsidR="00864791" w:rsidRPr="00CF3E75" w:rsidRDefault="00864791" w:rsidP="00B934F9">
      <w:pPr>
        <w:jc w:val="both"/>
        <w:rPr>
          <w:rFonts w:ascii="Kristen ITC" w:hAnsi="Kristen ITC"/>
          <w:color w:val="002060"/>
          <w:sz w:val="24"/>
          <w:szCs w:val="24"/>
        </w:rPr>
      </w:pPr>
    </w:p>
    <w:p w:rsidR="00D5352B" w:rsidRDefault="00D5352B" w:rsidP="00B934F9">
      <w:pPr>
        <w:jc w:val="both"/>
        <w:rPr>
          <w:rFonts w:ascii="Kristen ITC" w:hAnsi="Kristen ITC"/>
          <w:sz w:val="24"/>
          <w:szCs w:val="24"/>
        </w:rPr>
      </w:pPr>
    </w:p>
    <w:p w:rsidR="00094AD7" w:rsidRDefault="00094AD7" w:rsidP="00B934F9">
      <w:pPr>
        <w:jc w:val="both"/>
        <w:rPr>
          <w:rFonts w:ascii="Kristen ITC" w:hAnsi="Kristen ITC"/>
          <w:sz w:val="24"/>
          <w:szCs w:val="24"/>
        </w:rPr>
      </w:pPr>
      <w:r>
        <w:rPr>
          <w:rFonts w:ascii="Kristen ITC" w:hAnsi="Kristen ITC"/>
          <w:sz w:val="24"/>
          <w:szCs w:val="24"/>
        </w:rPr>
        <w:t xml:space="preserve">Si </w:t>
      </w:r>
      <w:proofErr w:type="spellStart"/>
      <w:r>
        <w:rPr>
          <w:rFonts w:ascii="Kristen ITC" w:hAnsi="Kristen ITC"/>
          <w:sz w:val="24"/>
          <w:szCs w:val="24"/>
        </w:rPr>
        <w:t>da</w:t>
      </w:r>
      <w:proofErr w:type="spellEnd"/>
      <w:r>
        <w:rPr>
          <w:rFonts w:ascii="Kristen ITC" w:hAnsi="Kristen ITC"/>
          <w:sz w:val="24"/>
          <w:szCs w:val="24"/>
        </w:rPr>
        <w:t xml:space="preserve"> atto dei seguenti provvedimenti e manifestazioni :</w:t>
      </w:r>
    </w:p>
    <w:p w:rsidR="00094AD7" w:rsidRDefault="00094AD7" w:rsidP="00094AD7">
      <w:pPr>
        <w:pStyle w:val="Paragrafoelenco"/>
        <w:numPr>
          <w:ilvl w:val="0"/>
          <w:numId w:val="3"/>
        </w:numPr>
        <w:jc w:val="both"/>
        <w:rPr>
          <w:rFonts w:ascii="Kristen ITC" w:hAnsi="Kristen ITC"/>
        </w:rPr>
      </w:pPr>
      <w:r>
        <w:rPr>
          <w:rFonts w:ascii="Kristen ITC" w:hAnsi="Kristen ITC"/>
        </w:rPr>
        <w:t>Relazione semestrale al 30 giugno 201</w:t>
      </w:r>
      <w:r w:rsidR="001406AD">
        <w:rPr>
          <w:rFonts w:ascii="Kristen ITC" w:hAnsi="Kristen ITC"/>
        </w:rPr>
        <w:t>6 ai</w:t>
      </w:r>
      <w:r w:rsidR="00BA569A">
        <w:rPr>
          <w:rFonts w:ascii="Kristen ITC" w:hAnsi="Kristen ITC"/>
        </w:rPr>
        <w:t xml:space="preserve"> </w:t>
      </w:r>
      <w:r w:rsidR="001406AD">
        <w:rPr>
          <w:rFonts w:ascii="Kristen ITC" w:hAnsi="Kristen ITC"/>
        </w:rPr>
        <w:t xml:space="preserve">sensi art. 10 </w:t>
      </w:r>
      <w:proofErr w:type="spellStart"/>
      <w:r w:rsidR="001406AD">
        <w:rPr>
          <w:rFonts w:ascii="Kristen ITC" w:hAnsi="Kristen ITC"/>
        </w:rPr>
        <w:t>D.Lgv</w:t>
      </w:r>
      <w:proofErr w:type="spellEnd"/>
      <w:r w:rsidR="001406AD">
        <w:rPr>
          <w:rFonts w:ascii="Kristen ITC" w:hAnsi="Kristen ITC"/>
        </w:rPr>
        <w:t xml:space="preserve"> 150/2000 – Documento in data 24 giugno 2016 </w:t>
      </w:r>
      <w:r>
        <w:rPr>
          <w:rFonts w:ascii="Kristen ITC" w:hAnsi="Kristen ITC"/>
        </w:rPr>
        <w:t xml:space="preserve"> </w:t>
      </w:r>
    </w:p>
    <w:p w:rsidR="00094AD7" w:rsidRDefault="00094AD7" w:rsidP="00094AD7">
      <w:pPr>
        <w:pStyle w:val="Paragrafoelenco"/>
        <w:numPr>
          <w:ilvl w:val="0"/>
          <w:numId w:val="3"/>
        </w:numPr>
        <w:jc w:val="both"/>
        <w:rPr>
          <w:rFonts w:ascii="Kristen ITC" w:hAnsi="Kristen ITC"/>
        </w:rPr>
      </w:pPr>
      <w:r>
        <w:rPr>
          <w:rFonts w:ascii="Kristen ITC" w:hAnsi="Kristen ITC"/>
        </w:rPr>
        <w:t xml:space="preserve">Relazione annuale al 15 dicembre </w:t>
      </w:r>
      <w:proofErr w:type="gramStart"/>
      <w:r>
        <w:rPr>
          <w:rFonts w:ascii="Kristen ITC" w:hAnsi="Kristen ITC"/>
        </w:rPr>
        <w:t>201</w:t>
      </w:r>
      <w:r w:rsidR="00BA569A">
        <w:rPr>
          <w:rFonts w:ascii="Kristen ITC" w:hAnsi="Kristen ITC"/>
        </w:rPr>
        <w:t>6  Documento</w:t>
      </w:r>
      <w:proofErr w:type="gramEnd"/>
      <w:r w:rsidR="00BA569A">
        <w:rPr>
          <w:rFonts w:ascii="Kristen ITC" w:hAnsi="Kristen ITC"/>
        </w:rPr>
        <w:t xml:space="preserve"> in data 14 dicembre 2016</w:t>
      </w:r>
    </w:p>
    <w:p w:rsidR="00BA569A" w:rsidRDefault="00094AD7" w:rsidP="00094AD7">
      <w:pPr>
        <w:pStyle w:val="Paragrafoelenco"/>
        <w:numPr>
          <w:ilvl w:val="0"/>
          <w:numId w:val="3"/>
        </w:numPr>
        <w:jc w:val="both"/>
        <w:rPr>
          <w:rFonts w:ascii="Kristen ITC" w:hAnsi="Kristen ITC"/>
        </w:rPr>
      </w:pPr>
      <w:r>
        <w:rPr>
          <w:rFonts w:ascii="Kristen ITC" w:hAnsi="Kristen ITC"/>
        </w:rPr>
        <w:t>“Giornata per la Trasparenza e la preve</w:t>
      </w:r>
      <w:r w:rsidR="00BA569A">
        <w:rPr>
          <w:rFonts w:ascii="Kristen ITC" w:hAnsi="Kristen ITC"/>
        </w:rPr>
        <w:t xml:space="preserve">nzione della </w:t>
      </w:r>
      <w:proofErr w:type="gramStart"/>
      <w:r w:rsidR="00BA569A">
        <w:rPr>
          <w:rFonts w:ascii="Kristen ITC" w:hAnsi="Kristen ITC"/>
        </w:rPr>
        <w:t>corruzione”  -</w:t>
      </w:r>
      <w:proofErr w:type="gramEnd"/>
      <w:r w:rsidR="00BA569A">
        <w:rPr>
          <w:rFonts w:ascii="Kristen ITC" w:hAnsi="Kristen ITC"/>
        </w:rPr>
        <w:t xml:space="preserve"> Dicembre 2016 :  </w:t>
      </w:r>
    </w:p>
    <w:p w:rsidR="00BA569A" w:rsidRDefault="00BA569A" w:rsidP="00094AD7">
      <w:pPr>
        <w:pStyle w:val="Paragrafoelenco"/>
        <w:numPr>
          <w:ilvl w:val="0"/>
          <w:numId w:val="3"/>
        </w:numPr>
        <w:jc w:val="both"/>
        <w:rPr>
          <w:rFonts w:ascii="Kristen ITC" w:hAnsi="Kristen ITC"/>
        </w:rPr>
      </w:pPr>
      <w:r>
        <w:rPr>
          <w:rFonts w:ascii="Kristen ITC" w:hAnsi="Kristen ITC"/>
        </w:rPr>
        <w:t xml:space="preserve"> La disciplina dell’Anticorruzione nella determinazione ANAC 12/2015</w:t>
      </w:r>
    </w:p>
    <w:p w:rsidR="00094AD7" w:rsidRDefault="00094AD7" w:rsidP="00094AD7">
      <w:pPr>
        <w:pStyle w:val="Paragrafoelenco"/>
        <w:numPr>
          <w:ilvl w:val="0"/>
          <w:numId w:val="3"/>
        </w:numPr>
        <w:jc w:val="both"/>
        <w:rPr>
          <w:rFonts w:ascii="Kristen ITC" w:hAnsi="Kristen ITC"/>
        </w:rPr>
      </w:pPr>
      <w:r>
        <w:rPr>
          <w:rFonts w:ascii="Kristen ITC" w:hAnsi="Kristen ITC"/>
        </w:rPr>
        <w:t xml:space="preserve"> </w:t>
      </w:r>
      <w:r w:rsidR="00BA569A">
        <w:rPr>
          <w:rFonts w:ascii="Kristen ITC" w:hAnsi="Kristen ITC"/>
        </w:rPr>
        <w:t>L’anticorruzione il presidio della legalità e la disciplina del conflitto di interessi</w:t>
      </w:r>
    </w:p>
    <w:p w:rsidR="00BA569A" w:rsidRDefault="00BA569A" w:rsidP="00094AD7">
      <w:pPr>
        <w:pStyle w:val="Paragrafoelenco"/>
        <w:numPr>
          <w:ilvl w:val="0"/>
          <w:numId w:val="3"/>
        </w:numPr>
        <w:jc w:val="both"/>
        <w:rPr>
          <w:rFonts w:ascii="Kristen ITC" w:hAnsi="Kristen ITC"/>
        </w:rPr>
      </w:pPr>
      <w:r>
        <w:rPr>
          <w:rFonts w:ascii="Kristen ITC" w:hAnsi="Kristen ITC"/>
        </w:rPr>
        <w:t xml:space="preserve">La buona amministrazione nel conferimento degli incarichi: </w:t>
      </w:r>
      <w:proofErr w:type="spellStart"/>
      <w:r>
        <w:rPr>
          <w:rFonts w:ascii="Kristen ITC" w:hAnsi="Kristen ITC"/>
        </w:rPr>
        <w:t>inconferibilità</w:t>
      </w:r>
      <w:proofErr w:type="spellEnd"/>
      <w:r>
        <w:rPr>
          <w:rFonts w:ascii="Kristen ITC" w:hAnsi="Kristen ITC"/>
        </w:rPr>
        <w:t xml:space="preserve"> ed incompatibilità negli Enti Locali</w:t>
      </w:r>
    </w:p>
    <w:p w:rsidR="00BA569A" w:rsidRDefault="00BA569A" w:rsidP="00BA569A">
      <w:pPr>
        <w:pStyle w:val="Paragrafoelenco"/>
        <w:ind w:left="927"/>
        <w:jc w:val="both"/>
        <w:rPr>
          <w:rFonts w:ascii="Kristen ITC" w:hAnsi="Kristen ITC"/>
        </w:rPr>
      </w:pPr>
    </w:p>
    <w:p w:rsidR="001406AD" w:rsidRDefault="001406AD" w:rsidP="00094AD7">
      <w:pPr>
        <w:pStyle w:val="Paragrafoelenco"/>
        <w:numPr>
          <w:ilvl w:val="0"/>
          <w:numId w:val="3"/>
        </w:numPr>
        <w:jc w:val="both"/>
        <w:rPr>
          <w:rFonts w:ascii="Kristen ITC" w:hAnsi="Kristen ITC"/>
        </w:rPr>
      </w:pPr>
      <w:r>
        <w:rPr>
          <w:rFonts w:ascii="Kristen ITC" w:hAnsi="Kristen ITC"/>
        </w:rPr>
        <w:t xml:space="preserve">Corrispondenza fra il RPCT e i Responsabili di Area P.O. – Atti </w:t>
      </w:r>
    </w:p>
    <w:p w:rsidR="00094AD7" w:rsidRPr="00094AD7" w:rsidRDefault="00094AD7" w:rsidP="00094AD7">
      <w:pPr>
        <w:jc w:val="both"/>
        <w:rPr>
          <w:rFonts w:ascii="Kristen ITC" w:hAnsi="Kristen ITC"/>
        </w:rPr>
      </w:pPr>
      <w:r>
        <w:rPr>
          <w:rFonts w:ascii="Kristen ITC" w:hAnsi="Kristen ITC"/>
        </w:rPr>
        <w:t xml:space="preserve">Si procederà successivamente alla Relazione del Nucleo di Valutazione di attestazione del rispetto degli obblighi di pubblicità entro il termine del 31 marzo 2017 </w:t>
      </w:r>
    </w:p>
    <w:p w:rsidR="00094AD7" w:rsidRPr="00094AD7" w:rsidRDefault="00094AD7" w:rsidP="00094AD7">
      <w:pPr>
        <w:pStyle w:val="Paragrafoelenco"/>
        <w:ind w:left="927"/>
        <w:jc w:val="both"/>
        <w:rPr>
          <w:rFonts w:ascii="Kristen ITC" w:hAnsi="Kristen ITC"/>
        </w:rPr>
      </w:pPr>
    </w:p>
    <w:p w:rsidR="00B934F9" w:rsidRDefault="00B934F9" w:rsidP="00B934F9">
      <w:pPr>
        <w:jc w:val="both"/>
        <w:rPr>
          <w:rFonts w:ascii="Kristen ITC" w:hAnsi="Kristen ITC"/>
          <w:sz w:val="32"/>
          <w:szCs w:val="32"/>
          <w:u w:val="single"/>
        </w:rPr>
      </w:pPr>
    </w:p>
    <w:p w:rsidR="00B934F9" w:rsidRDefault="00B934F9" w:rsidP="00B934F9">
      <w:pPr>
        <w:jc w:val="both"/>
        <w:rPr>
          <w:rFonts w:ascii="Kristen ITC" w:hAnsi="Kristen ITC"/>
          <w:sz w:val="32"/>
          <w:szCs w:val="32"/>
          <w:u w:val="single"/>
        </w:rPr>
      </w:pPr>
      <w:r>
        <w:rPr>
          <w:rFonts w:ascii="Kristen ITC" w:hAnsi="Kristen ITC"/>
          <w:sz w:val="32"/>
          <w:szCs w:val="32"/>
          <w:u w:val="single"/>
        </w:rPr>
        <w:t xml:space="preserve">Montepulciano 31 gennaio 2017 </w:t>
      </w:r>
    </w:p>
    <w:p w:rsidR="00B934F9" w:rsidRDefault="00B934F9" w:rsidP="00B934F9">
      <w:pPr>
        <w:jc w:val="both"/>
        <w:rPr>
          <w:rFonts w:ascii="Kristen ITC" w:hAnsi="Kristen ITC"/>
          <w:sz w:val="28"/>
          <w:szCs w:val="28"/>
        </w:rPr>
      </w:pPr>
    </w:p>
    <w:p w:rsidR="00B934F9" w:rsidRDefault="00B934F9" w:rsidP="00B934F9">
      <w:pPr>
        <w:jc w:val="both"/>
        <w:rPr>
          <w:rFonts w:ascii="Kristen ITC" w:hAnsi="Kristen ITC"/>
          <w:sz w:val="28"/>
          <w:szCs w:val="28"/>
        </w:rPr>
      </w:pPr>
      <w:r>
        <w:rPr>
          <w:rFonts w:ascii="Kristen ITC" w:hAnsi="Kristen ITC"/>
          <w:sz w:val="28"/>
          <w:szCs w:val="28"/>
        </w:rPr>
        <w:t xml:space="preserve">                                               Il Responsabile Prevenzione Corruzione</w:t>
      </w:r>
    </w:p>
    <w:p w:rsidR="00B934F9" w:rsidRPr="00B934F9" w:rsidRDefault="00B934F9" w:rsidP="00B934F9">
      <w:pPr>
        <w:jc w:val="both"/>
        <w:rPr>
          <w:rFonts w:ascii="Kristen ITC" w:hAnsi="Kristen ITC"/>
          <w:sz w:val="28"/>
          <w:szCs w:val="28"/>
        </w:rPr>
      </w:pPr>
      <w:r>
        <w:rPr>
          <w:rFonts w:ascii="Kristen ITC" w:hAnsi="Kristen ITC"/>
          <w:sz w:val="28"/>
          <w:szCs w:val="28"/>
        </w:rPr>
        <w:t xml:space="preserve">                                             Dr. Michele Pinzuti – Segretario Comunale </w:t>
      </w:r>
    </w:p>
    <w:p w:rsidR="00EF5C7B" w:rsidRPr="000D3DD5" w:rsidRDefault="00EF5C7B" w:rsidP="000D3DD5">
      <w:pPr>
        <w:jc w:val="both"/>
        <w:rPr>
          <w:rFonts w:ascii="Kristen ITC" w:hAnsi="Kristen ITC"/>
          <w:sz w:val="24"/>
          <w:szCs w:val="24"/>
        </w:rPr>
      </w:pPr>
    </w:p>
    <w:sectPr w:rsidR="00EF5C7B" w:rsidRPr="000D3DD5" w:rsidSect="00107735">
      <w:footerReference w:type="default" r:id="rId5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86C" w:rsidRDefault="00E5186C" w:rsidP="003D5161">
      <w:pPr>
        <w:spacing w:after="0" w:line="240" w:lineRule="auto"/>
      </w:pPr>
      <w:r>
        <w:separator/>
      </w:r>
    </w:p>
  </w:endnote>
  <w:endnote w:type="continuationSeparator" w:id="0">
    <w:p w:rsidR="00E5186C" w:rsidRDefault="00E5186C" w:rsidP="003D5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risten ITC">
    <w:panose1 w:val="03050502040202030202"/>
    <w:charset w:val="00"/>
    <w:family w:val="script"/>
    <w:pitch w:val="variable"/>
    <w:sig w:usb0="00000003" w:usb1="00000000" w:usb2="00000000" w:usb3="00000000" w:csb0="00000001" w:csb1="00000000"/>
  </w:font>
  <w:font w:name="Berlin Sans FB">
    <w:altName w:val="Candara"/>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224579"/>
      <w:docPartObj>
        <w:docPartGallery w:val="Page Numbers (Bottom of Page)"/>
        <w:docPartUnique/>
      </w:docPartObj>
    </w:sdtPr>
    <w:sdtContent>
      <w:p w:rsidR="001406AD" w:rsidRDefault="001406AD">
        <w:pPr>
          <w:pStyle w:val="Pidipagina"/>
          <w:jc w:val="right"/>
        </w:pPr>
        <w:r>
          <w:fldChar w:fldCharType="begin"/>
        </w:r>
        <w:r>
          <w:instrText>PAGE   \* MERGEFORMAT</w:instrText>
        </w:r>
        <w:r>
          <w:fldChar w:fldCharType="separate"/>
        </w:r>
        <w:r w:rsidR="00853D16">
          <w:rPr>
            <w:noProof/>
          </w:rPr>
          <w:t>3</w:t>
        </w:r>
        <w:r>
          <w:fldChar w:fldCharType="end"/>
        </w:r>
      </w:p>
    </w:sdtContent>
  </w:sdt>
  <w:p w:rsidR="001406AD" w:rsidRDefault="001406A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86C" w:rsidRDefault="00E5186C" w:rsidP="003D5161">
      <w:pPr>
        <w:spacing w:after="0" w:line="240" w:lineRule="auto"/>
      </w:pPr>
      <w:r>
        <w:separator/>
      </w:r>
    </w:p>
  </w:footnote>
  <w:footnote w:type="continuationSeparator" w:id="0">
    <w:p w:rsidR="00E5186C" w:rsidRDefault="00E5186C" w:rsidP="003D51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
      </v:shape>
    </w:pict>
  </w:numPicBullet>
  <w:abstractNum w:abstractNumId="0" w15:restartNumberingAfterBreak="0">
    <w:nsid w:val="00000005"/>
    <w:multiLevelType w:val="multilevel"/>
    <w:tmpl w:val="00000005"/>
    <w:name w:val="WW8Num10"/>
    <w:lvl w:ilvl="0">
      <w:start w:val="1"/>
      <w:numFmt w:val="decimal"/>
      <w:lvlText w:val="%1."/>
      <w:lvlJc w:val="left"/>
      <w:pPr>
        <w:tabs>
          <w:tab w:val="num" w:pos="0"/>
        </w:tabs>
        <w:ind w:left="720" w:hanging="360"/>
      </w:pPr>
      <w:rPr>
        <w:rFonts w:ascii="Calibri" w:eastAsia="Times New Roman" w:hAnsi="Calibri" w:cs="Times New Roman"/>
        <w:sz w:val="23"/>
        <w:szCs w:val="23"/>
      </w:rPr>
    </w:lvl>
    <w:lvl w:ilvl="1">
      <w:start w:val="1"/>
      <w:numFmt w:val="lowerLetter"/>
      <w:lvlText w:val="%2."/>
      <w:lvlJc w:val="left"/>
      <w:pPr>
        <w:tabs>
          <w:tab w:val="num" w:pos="0"/>
        </w:tabs>
        <w:ind w:left="1440" w:hanging="360"/>
      </w:pPr>
      <w:rPr>
        <w:rFonts w:ascii="Calibri" w:eastAsia="Times New Roman" w:hAnsi="Calibri" w:cs="Calibri"/>
        <w:sz w:val="23"/>
        <w:szCs w:val="23"/>
      </w:rPr>
    </w:lvl>
    <w:lvl w:ilvl="2">
      <w:start w:val="1"/>
      <w:numFmt w:val="lowerRoman"/>
      <w:lvlText w:val="%3."/>
      <w:lvlJc w:val="right"/>
      <w:pPr>
        <w:tabs>
          <w:tab w:val="num" w:pos="0"/>
        </w:tabs>
        <w:ind w:left="2160" w:hanging="180"/>
      </w:pPr>
      <w:rPr>
        <w:rFonts w:ascii="Calibri" w:eastAsia="Times New Roman" w:hAnsi="Calibri" w:cs="Calibri"/>
        <w:sz w:val="23"/>
        <w:szCs w:val="23"/>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sz w:val="23"/>
      </w:rPr>
    </w:lvl>
  </w:abstractNum>
  <w:abstractNum w:abstractNumId="2" w15:restartNumberingAfterBreak="0">
    <w:nsid w:val="0000000E"/>
    <w:multiLevelType w:val="singleLevel"/>
    <w:tmpl w:val="0000000E"/>
    <w:name w:val="WW8Num15"/>
    <w:lvl w:ilvl="0">
      <w:start w:val="1"/>
      <w:numFmt w:val="bullet"/>
      <w:lvlText w:val=""/>
      <w:lvlJc w:val="left"/>
      <w:pPr>
        <w:tabs>
          <w:tab w:val="num" w:pos="0"/>
        </w:tabs>
        <w:ind w:left="1440" w:hanging="360"/>
      </w:pPr>
      <w:rPr>
        <w:rFonts w:ascii="Symbol" w:hAnsi="Symbol"/>
      </w:rPr>
    </w:lvl>
  </w:abstractNum>
  <w:abstractNum w:abstractNumId="3" w15:restartNumberingAfterBreak="0">
    <w:nsid w:val="00000010"/>
    <w:multiLevelType w:val="singleLevel"/>
    <w:tmpl w:val="00000010"/>
    <w:name w:val="WW8Num17"/>
    <w:lvl w:ilvl="0">
      <w:start w:val="1"/>
      <w:numFmt w:val="decimal"/>
      <w:lvlText w:val="%1."/>
      <w:lvlJc w:val="left"/>
      <w:pPr>
        <w:tabs>
          <w:tab w:val="num" w:pos="0"/>
        </w:tabs>
        <w:ind w:left="720" w:hanging="360"/>
      </w:pPr>
      <w:rPr>
        <w:rFonts w:cs="Calibri"/>
        <w:sz w:val="23"/>
        <w:szCs w:val="23"/>
      </w:rPr>
    </w:lvl>
  </w:abstractNum>
  <w:abstractNum w:abstractNumId="4" w15:restartNumberingAfterBreak="0">
    <w:nsid w:val="07823B8A"/>
    <w:multiLevelType w:val="hybridMultilevel"/>
    <w:tmpl w:val="5A56EDB8"/>
    <w:lvl w:ilvl="0" w:tplc="136EA884">
      <w:numFmt w:val="bullet"/>
      <w:lvlText w:val="-"/>
      <w:lvlJc w:val="left"/>
      <w:pPr>
        <w:ind w:left="720" w:hanging="360"/>
      </w:pPr>
      <w:rPr>
        <w:rFonts w:ascii="Trebuchet MS" w:eastAsia="Times New Roman" w:hAnsi="Trebuchet M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334D5E"/>
    <w:multiLevelType w:val="hybridMultilevel"/>
    <w:tmpl w:val="C924F5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827575"/>
    <w:multiLevelType w:val="hybridMultilevel"/>
    <w:tmpl w:val="94FAC27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1C31A5F"/>
    <w:multiLevelType w:val="hybridMultilevel"/>
    <w:tmpl w:val="C0840E8C"/>
    <w:lvl w:ilvl="0" w:tplc="1BE44AC2">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0B6B1B"/>
    <w:multiLevelType w:val="hybridMultilevel"/>
    <w:tmpl w:val="94BC75F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125506D3"/>
    <w:multiLevelType w:val="hybridMultilevel"/>
    <w:tmpl w:val="B0425A56"/>
    <w:lvl w:ilvl="0" w:tplc="0410000F">
      <w:start w:val="1"/>
      <w:numFmt w:val="decimal"/>
      <w:lvlText w:val="%1."/>
      <w:lvlJc w:val="left"/>
      <w:pPr>
        <w:tabs>
          <w:tab w:val="num" w:pos="720"/>
        </w:tabs>
        <w:ind w:left="720" w:hanging="360"/>
      </w:pPr>
      <w:rPr>
        <w:rFonts w:cs="Times New Roman"/>
      </w:rPr>
    </w:lvl>
    <w:lvl w:ilvl="1" w:tplc="5CD4A716">
      <w:numFmt w:val="bullet"/>
      <w:lvlText w:val="-"/>
      <w:lvlJc w:val="left"/>
      <w:pPr>
        <w:tabs>
          <w:tab w:val="num" w:pos="1440"/>
        </w:tabs>
        <w:ind w:left="1440" w:hanging="360"/>
      </w:pPr>
      <w:rPr>
        <w:rFonts w:ascii="Liberation Serif" w:eastAsia="Times New Roman" w:hAnsi="Liberation Serif" w:hint="default"/>
        <w:b/>
        <w:sz w:val="23"/>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2C551F1"/>
    <w:multiLevelType w:val="hybridMultilevel"/>
    <w:tmpl w:val="8DC8A2D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904B54"/>
    <w:multiLevelType w:val="hybridMultilevel"/>
    <w:tmpl w:val="58A08D1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833AB5"/>
    <w:multiLevelType w:val="hybridMultilevel"/>
    <w:tmpl w:val="F880D54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9D41609"/>
    <w:multiLevelType w:val="hybridMultilevel"/>
    <w:tmpl w:val="F976DFC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8E45E7"/>
    <w:multiLevelType w:val="hybridMultilevel"/>
    <w:tmpl w:val="087AAF62"/>
    <w:lvl w:ilvl="0" w:tplc="04100007">
      <w:start w:val="1"/>
      <w:numFmt w:val="bullet"/>
      <w:lvlText w:val=""/>
      <w:lvlPicBulletId w:val="0"/>
      <w:lvlJc w:val="left"/>
      <w:pPr>
        <w:ind w:left="720" w:hanging="360"/>
      </w:pPr>
      <w:rPr>
        <w:rFonts w:ascii="Symbol" w:hAnsi="Symbol" w:hint="default"/>
      </w:rPr>
    </w:lvl>
    <w:lvl w:ilvl="1" w:tplc="AEE649A8">
      <w:numFmt w:val="bullet"/>
      <w:lvlText w:val="•"/>
      <w:lvlJc w:val="left"/>
      <w:pPr>
        <w:ind w:left="1440" w:hanging="360"/>
      </w:pPr>
      <w:rPr>
        <w:rFonts w:ascii="Arial" w:eastAsia="Times New Roman"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B36AA8"/>
    <w:multiLevelType w:val="hybridMultilevel"/>
    <w:tmpl w:val="D8C48E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3F9484E"/>
    <w:multiLevelType w:val="hybridMultilevel"/>
    <w:tmpl w:val="48E6096C"/>
    <w:lvl w:ilvl="0" w:tplc="5CD4A716">
      <w:numFmt w:val="bullet"/>
      <w:lvlText w:val="-"/>
      <w:lvlJc w:val="left"/>
      <w:pPr>
        <w:tabs>
          <w:tab w:val="num" w:pos="-890"/>
        </w:tabs>
        <w:ind w:left="-890" w:hanging="360"/>
      </w:pPr>
      <w:rPr>
        <w:rFonts w:ascii="Liberation Serif" w:eastAsia="Times New Roman" w:hAnsi="Liberation Serif" w:hint="default"/>
        <w:b/>
        <w:sz w:val="23"/>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B44F05"/>
    <w:multiLevelType w:val="hybridMultilevel"/>
    <w:tmpl w:val="36D4DD34"/>
    <w:lvl w:ilvl="0" w:tplc="90DCCDFE">
      <w:numFmt w:val="bullet"/>
      <w:lvlText w:val="-"/>
      <w:lvlJc w:val="left"/>
      <w:pPr>
        <w:ind w:left="720" w:hanging="360"/>
      </w:pPr>
      <w:rPr>
        <w:rFonts w:ascii="Trebuchet MS" w:eastAsia="Times New Roman" w:hAnsi="Trebuchet M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66473B6"/>
    <w:multiLevelType w:val="hybridMultilevel"/>
    <w:tmpl w:val="A0DE1138"/>
    <w:lvl w:ilvl="0" w:tplc="562C3F9C">
      <w:start w:val="2"/>
      <w:numFmt w:val="bullet"/>
      <w:lvlText w:val="-"/>
      <w:lvlJc w:val="left"/>
      <w:pPr>
        <w:ind w:left="927" w:hanging="360"/>
      </w:pPr>
      <w:rPr>
        <w:rFonts w:ascii="Cambria" w:eastAsia="Times New Roman" w:hAnsi="Cambria" w:cs="Times New Roman" w:hint="default"/>
      </w:rPr>
    </w:lvl>
    <w:lvl w:ilvl="1" w:tplc="04100003">
      <w:start w:val="1"/>
      <w:numFmt w:val="bullet"/>
      <w:lvlText w:val="o"/>
      <w:lvlJc w:val="left"/>
      <w:pPr>
        <w:ind w:left="1647" w:hanging="360"/>
      </w:pPr>
      <w:rPr>
        <w:rFonts w:ascii="Courier New" w:hAnsi="Courier New" w:cs="Times New Roman"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Times New Roman"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Times New Roman" w:hint="default"/>
      </w:rPr>
    </w:lvl>
    <w:lvl w:ilvl="8" w:tplc="04100005">
      <w:start w:val="1"/>
      <w:numFmt w:val="bullet"/>
      <w:lvlText w:val=""/>
      <w:lvlJc w:val="left"/>
      <w:pPr>
        <w:ind w:left="6687" w:hanging="360"/>
      </w:pPr>
      <w:rPr>
        <w:rFonts w:ascii="Wingdings" w:hAnsi="Wingdings" w:hint="default"/>
      </w:rPr>
    </w:lvl>
  </w:abstractNum>
  <w:abstractNum w:abstractNumId="19" w15:restartNumberingAfterBreak="0">
    <w:nsid w:val="2714584E"/>
    <w:multiLevelType w:val="hybridMultilevel"/>
    <w:tmpl w:val="E2322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A233F35"/>
    <w:multiLevelType w:val="hybridMultilevel"/>
    <w:tmpl w:val="28209D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D292BBC"/>
    <w:multiLevelType w:val="hybridMultilevel"/>
    <w:tmpl w:val="1C5EA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7B71B86"/>
    <w:multiLevelType w:val="hybridMultilevel"/>
    <w:tmpl w:val="581A75C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9B46B30"/>
    <w:multiLevelType w:val="hybridMultilevel"/>
    <w:tmpl w:val="B19663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6341EA"/>
    <w:multiLevelType w:val="hybridMultilevel"/>
    <w:tmpl w:val="C74E72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6351A2"/>
    <w:multiLevelType w:val="hybridMultilevel"/>
    <w:tmpl w:val="EBC21E5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6E3793"/>
    <w:multiLevelType w:val="hybridMultilevel"/>
    <w:tmpl w:val="844A8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CD6476"/>
    <w:multiLevelType w:val="hybridMultilevel"/>
    <w:tmpl w:val="1AA21DC2"/>
    <w:lvl w:ilvl="0" w:tplc="04100001">
      <w:start w:val="1"/>
      <w:numFmt w:val="bullet"/>
      <w:lvlText w:val=""/>
      <w:lvlJc w:val="left"/>
      <w:pPr>
        <w:ind w:left="720" w:hanging="360"/>
      </w:pPr>
      <w:rPr>
        <w:rFonts w:ascii="Symbol" w:hAnsi="Symbol" w:hint="default"/>
      </w:rPr>
    </w:lvl>
    <w:lvl w:ilvl="1" w:tplc="51A6A804">
      <w:start w:val="5"/>
      <w:numFmt w:val="bullet"/>
      <w:lvlText w:val="-"/>
      <w:lvlJc w:val="left"/>
      <w:pPr>
        <w:tabs>
          <w:tab w:val="num" w:pos="1440"/>
        </w:tabs>
        <w:ind w:left="1440" w:hanging="360"/>
      </w:pPr>
      <w:rPr>
        <w:rFonts w:ascii="Arial" w:eastAsia="Times New Roman"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7357358"/>
    <w:multiLevelType w:val="multilevel"/>
    <w:tmpl w:val="3626C9C6"/>
    <w:lvl w:ilvl="0">
      <w:start w:val="1"/>
      <w:numFmt w:val="decimal"/>
      <w:lvlText w:val="%1."/>
      <w:lvlJc w:val="left"/>
      <w:pPr>
        <w:ind w:left="720" w:hanging="360"/>
      </w:pPr>
      <w:rPr>
        <w:rFonts w:cs="Times New Roman" w:hint="default"/>
      </w:rPr>
    </w:lvl>
    <w:lvl w:ilvl="1">
      <w:start w:val="1"/>
      <w:numFmt w:val="decimal"/>
      <w:isLgl/>
      <w:lvlText w:val="%1.%2."/>
      <w:lvlJc w:val="left"/>
      <w:pPr>
        <w:ind w:left="1068" w:hanging="360"/>
      </w:pPr>
      <w:rPr>
        <w:rFonts w:cs="Times New Roman" w:hint="default"/>
        <w:b/>
      </w:rPr>
    </w:lvl>
    <w:lvl w:ilvl="2">
      <w:start w:val="1"/>
      <w:numFmt w:val="decimal"/>
      <w:isLgl/>
      <w:lvlText w:val="%1.%2.%3."/>
      <w:lvlJc w:val="left"/>
      <w:pPr>
        <w:ind w:left="1776" w:hanging="720"/>
      </w:pPr>
      <w:rPr>
        <w:rFonts w:cs="Times New Roman" w:hint="default"/>
        <w:b/>
      </w:rPr>
    </w:lvl>
    <w:lvl w:ilvl="3">
      <w:start w:val="1"/>
      <w:numFmt w:val="decimal"/>
      <w:isLgl/>
      <w:lvlText w:val="%1.%2.%3.%4."/>
      <w:lvlJc w:val="left"/>
      <w:pPr>
        <w:ind w:left="2124" w:hanging="720"/>
      </w:pPr>
      <w:rPr>
        <w:rFonts w:cs="Times New Roman" w:hint="default"/>
        <w:b/>
      </w:rPr>
    </w:lvl>
    <w:lvl w:ilvl="4">
      <w:start w:val="1"/>
      <w:numFmt w:val="decimal"/>
      <w:isLgl/>
      <w:lvlText w:val="%1.%2.%3.%4.%5."/>
      <w:lvlJc w:val="left"/>
      <w:pPr>
        <w:ind w:left="2832" w:hanging="1080"/>
      </w:pPr>
      <w:rPr>
        <w:rFonts w:cs="Times New Roman" w:hint="default"/>
        <w:b/>
      </w:rPr>
    </w:lvl>
    <w:lvl w:ilvl="5">
      <w:start w:val="1"/>
      <w:numFmt w:val="decimal"/>
      <w:isLgl/>
      <w:lvlText w:val="%1.%2.%3.%4.%5.%6."/>
      <w:lvlJc w:val="left"/>
      <w:pPr>
        <w:ind w:left="3180" w:hanging="1080"/>
      </w:pPr>
      <w:rPr>
        <w:rFonts w:cs="Times New Roman" w:hint="default"/>
        <w:b/>
      </w:rPr>
    </w:lvl>
    <w:lvl w:ilvl="6">
      <w:start w:val="1"/>
      <w:numFmt w:val="decimal"/>
      <w:isLgl/>
      <w:lvlText w:val="%1.%2.%3.%4.%5.%6.%7."/>
      <w:lvlJc w:val="left"/>
      <w:pPr>
        <w:ind w:left="3888" w:hanging="1440"/>
      </w:pPr>
      <w:rPr>
        <w:rFonts w:cs="Times New Roman" w:hint="default"/>
        <w:b/>
      </w:rPr>
    </w:lvl>
    <w:lvl w:ilvl="7">
      <w:start w:val="1"/>
      <w:numFmt w:val="decimal"/>
      <w:isLgl/>
      <w:lvlText w:val="%1.%2.%3.%4.%5.%6.%7.%8."/>
      <w:lvlJc w:val="left"/>
      <w:pPr>
        <w:ind w:left="4236" w:hanging="1440"/>
      </w:pPr>
      <w:rPr>
        <w:rFonts w:cs="Times New Roman" w:hint="default"/>
        <w:b/>
      </w:rPr>
    </w:lvl>
    <w:lvl w:ilvl="8">
      <w:start w:val="1"/>
      <w:numFmt w:val="decimal"/>
      <w:isLgl/>
      <w:lvlText w:val="%1.%2.%3.%4.%5.%6.%7.%8.%9."/>
      <w:lvlJc w:val="left"/>
      <w:pPr>
        <w:ind w:left="4944" w:hanging="1800"/>
      </w:pPr>
      <w:rPr>
        <w:rFonts w:cs="Times New Roman" w:hint="default"/>
        <w:b/>
      </w:rPr>
    </w:lvl>
  </w:abstractNum>
  <w:abstractNum w:abstractNumId="29" w15:restartNumberingAfterBreak="0">
    <w:nsid w:val="483E3439"/>
    <w:multiLevelType w:val="hybridMultilevel"/>
    <w:tmpl w:val="4EEE55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9342576"/>
    <w:multiLevelType w:val="hybridMultilevel"/>
    <w:tmpl w:val="8E827AE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9DB10CE"/>
    <w:multiLevelType w:val="hybridMultilevel"/>
    <w:tmpl w:val="C6EE14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EFD7568"/>
    <w:multiLevelType w:val="multilevel"/>
    <w:tmpl w:val="E89C297A"/>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990"/>
        </w:tabs>
        <w:ind w:left="990" w:hanging="360"/>
      </w:pPr>
      <w:rPr>
        <w:rFonts w:cs="Times New Roman" w:hint="default"/>
        <w:b/>
      </w:rPr>
    </w:lvl>
    <w:lvl w:ilvl="2">
      <w:start w:val="1"/>
      <w:numFmt w:val="decimal"/>
      <w:lvlText w:val="%1.%2.%3"/>
      <w:lvlJc w:val="left"/>
      <w:pPr>
        <w:tabs>
          <w:tab w:val="num" w:pos="1980"/>
        </w:tabs>
        <w:ind w:left="1980" w:hanging="720"/>
      </w:pPr>
      <w:rPr>
        <w:rFonts w:cs="Times New Roman" w:hint="default"/>
        <w:b/>
      </w:rPr>
    </w:lvl>
    <w:lvl w:ilvl="3">
      <w:start w:val="1"/>
      <w:numFmt w:val="decimal"/>
      <w:lvlText w:val="%1.%2.%3.%4"/>
      <w:lvlJc w:val="left"/>
      <w:pPr>
        <w:tabs>
          <w:tab w:val="num" w:pos="2610"/>
        </w:tabs>
        <w:ind w:left="2610" w:hanging="720"/>
      </w:pPr>
      <w:rPr>
        <w:rFonts w:cs="Times New Roman" w:hint="default"/>
        <w:b/>
      </w:rPr>
    </w:lvl>
    <w:lvl w:ilvl="4">
      <w:start w:val="1"/>
      <w:numFmt w:val="decimal"/>
      <w:lvlText w:val="%1.%2.%3.%4.%5"/>
      <w:lvlJc w:val="left"/>
      <w:pPr>
        <w:tabs>
          <w:tab w:val="num" w:pos="3600"/>
        </w:tabs>
        <w:ind w:left="3600" w:hanging="1080"/>
      </w:pPr>
      <w:rPr>
        <w:rFonts w:cs="Times New Roman" w:hint="default"/>
        <w:b/>
      </w:rPr>
    </w:lvl>
    <w:lvl w:ilvl="5">
      <w:start w:val="1"/>
      <w:numFmt w:val="decimal"/>
      <w:lvlText w:val="%1.%2.%3.%4.%5.%6"/>
      <w:lvlJc w:val="left"/>
      <w:pPr>
        <w:tabs>
          <w:tab w:val="num" w:pos="4230"/>
        </w:tabs>
        <w:ind w:left="4230" w:hanging="1080"/>
      </w:pPr>
      <w:rPr>
        <w:rFonts w:cs="Times New Roman" w:hint="default"/>
        <w:b/>
      </w:rPr>
    </w:lvl>
    <w:lvl w:ilvl="6">
      <w:start w:val="1"/>
      <w:numFmt w:val="decimal"/>
      <w:lvlText w:val="%1.%2.%3.%4.%5.%6.%7"/>
      <w:lvlJc w:val="left"/>
      <w:pPr>
        <w:tabs>
          <w:tab w:val="num" w:pos="5220"/>
        </w:tabs>
        <w:ind w:left="5220" w:hanging="1440"/>
      </w:pPr>
      <w:rPr>
        <w:rFonts w:cs="Times New Roman" w:hint="default"/>
        <w:b/>
      </w:rPr>
    </w:lvl>
    <w:lvl w:ilvl="7">
      <w:start w:val="1"/>
      <w:numFmt w:val="decimal"/>
      <w:lvlText w:val="%1.%2.%3.%4.%5.%6.%7.%8"/>
      <w:lvlJc w:val="left"/>
      <w:pPr>
        <w:tabs>
          <w:tab w:val="num" w:pos="5850"/>
        </w:tabs>
        <w:ind w:left="5850" w:hanging="1440"/>
      </w:pPr>
      <w:rPr>
        <w:rFonts w:cs="Times New Roman" w:hint="default"/>
        <w:b/>
      </w:rPr>
    </w:lvl>
    <w:lvl w:ilvl="8">
      <w:start w:val="1"/>
      <w:numFmt w:val="decimal"/>
      <w:lvlText w:val="%1.%2.%3.%4.%5.%6.%7.%8.%9"/>
      <w:lvlJc w:val="left"/>
      <w:pPr>
        <w:tabs>
          <w:tab w:val="num" w:pos="6840"/>
        </w:tabs>
        <w:ind w:left="6840" w:hanging="1800"/>
      </w:pPr>
      <w:rPr>
        <w:rFonts w:cs="Times New Roman" w:hint="default"/>
        <w:b/>
      </w:rPr>
    </w:lvl>
  </w:abstractNum>
  <w:abstractNum w:abstractNumId="33" w15:restartNumberingAfterBreak="0">
    <w:nsid w:val="4F430611"/>
    <w:multiLevelType w:val="hybridMultilevel"/>
    <w:tmpl w:val="E1088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F9C6961"/>
    <w:multiLevelType w:val="hybridMultilevel"/>
    <w:tmpl w:val="59301BEC"/>
    <w:lvl w:ilvl="0" w:tplc="51A6A804">
      <w:start w:val="5"/>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55277E"/>
    <w:multiLevelType w:val="multilevel"/>
    <w:tmpl w:val="4A946B5A"/>
    <w:lvl w:ilvl="0">
      <w:start w:val="1"/>
      <w:numFmt w:val="decimal"/>
      <w:lvlText w:val="%1."/>
      <w:lvlJc w:val="left"/>
      <w:pPr>
        <w:tabs>
          <w:tab w:val="num" w:pos="720"/>
        </w:tabs>
        <w:ind w:left="720" w:hanging="360"/>
      </w:pPr>
      <w:rPr>
        <w:rFonts w:cs="Times New Roman" w:hint="default"/>
        <w:b/>
        <w:i w:val="0"/>
        <w:color w:val="auto"/>
        <w:sz w:val="22"/>
      </w:rPr>
    </w:lvl>
    <w:lvl w:ilvl="1">
      <w:start w:val="2"/>
      <w:numFmt w:val="decimal"/>
      <w:isLgl/>
      <w:lvlText w:val="%1.%2"/>
      <w:lvlJc w:val="left"/>
      <w:pPr>
        <w:ind w:left="1065" w:hanging="435"/>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225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150" w:hanging="1440"/>
      </w:pPr>
      <w:rPr>
        <w:rFonts w:cs="Times New Roman" w:hint="default"/>
      </w:rPr>
    </w:lvl>
    <w:lvl w:ilvl="6">
      <w:start w:val="1"/>
      <w:numFmt w:val="decimal"/>
      <w:isLgl/>
      <w:lvlText w:val="%1.%2.%3.%4.%5.%6.%7"/>
      <w:lvlJc w:val="left"/>
      <w:pPr>
        <w:ind w:left="3420" w:hanging="1440"/>
      </w:pPr>
      <w:rPr>
        <w:rFonts w:cs="Times New Roman" w:hint="default"/>
      </w:rPr>
    </w:lvl>
    <w:lvl w:ilvl="7">
      <w:start w:val="1"/>
      <w:numFmt w:val="decimal"/>
      <w:isLgl/>
      <w:lvlText w:val="%1.%2.%3.%4.%5.%6.%7.%8"/>
      <w:lvlJc w:val="left"/>
      <w:pPr>
        <w:ind w:left="4050" w:hanging="1800"/>
      </w:pPr>
      <w:rPr>
        <w:rFonts w:cs="Times New Roman" w:hint="default"/>
      </w:rPr>
    </w:lvl>
    <w:lvl w:ilvl="8">
      <w:start w:val="1"/>
      <w:numFmt w:val="decimal"/>
      <w:isLgl/>
      <w:lvlText w:val="%1.%2.%3.%4.%5.%6.%7.%8.%9"/>
      <w:lvlJc w:val="left"/>
      <w:pPr>
        <w:ind w:left="4680" w:hanging="2160"/>
      </w:pPr>
      <w:rPr>
        <w:rFonts w:cs="Times New Roman" w:hint="default"/>
      </w:rPr>
    </w:lvl>
  </w:abstractNum>
  <w:abstractNum w:abstractNumId="36" w15:restartNumberingAfterBreak="0">
    <w:nsid w:val="5BED4EB9"/>
    <w:multiLevelType w:val="hybridMultilevel"/>
    <w:tmpl w:val="88A46A7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DC34365"/>
    <w:multiLevelType w:val="hybridMultilevel"/>
    <w:tmpl w:val="6D361318"/>
    <w:lvl w:ilvl="0" w:tplc="04100007">
      <w:start w:val="1"/>
      <w:numFmt w:val="bullet"/>
      <w:lvlText w:val=""/>
      <w:lvlPicBulletId w:val="0"/>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F120F1C"/>
    <w:multiLevelType w:val="hybridMultilevel"/>
    <w:tmpl w:val="A8AEBC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4F67FA3"/>
    <w:multiLevelType w:val="hybridMultilevel"/>
    <w:tmpl w:val="D62AA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7BF6761"/>
    <w:multiLevelType w:val="hybridMultilevel"/>
    <w:tmpl w:val="7F3A767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9413B3C"/>
    <w:multiLevelType w:val="hybridMultilevel"/>
    <w:tmpl w:val="4BCEA07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15:restartNumberingAfterBreak="0">
    <w:nsid w:val="6BA729E2"/>
    <w:multiLevelType w:val="hybridMultilevel"/>
    <w:tmpl w:val="E0CA586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0BB7A1E"/>
    <w:multiLevelType w:val="hybridMultilevel"/>
    <w:tmpl w:val="4E0466CE"/>
    <w:lvl w:ilvl="0" w:tplc="00000006">
      <w:start w:val="1"/>
      <w:numFmt w:val="lowerLetter"/>
      <w:lvlText w:val="%1)"/>
      <w:lvlJc w:val="left"/>
      <w:pPr>
        <w:ind w:left="720" w:hanging="360"/>
      </w:pPr>
      <w:rPr>
        <w:rFonts w:ascii="Calibri" w:eastAsia="Times New Roman" w:hAnsi="Calibri"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B2F0915"/>
    <w:multiLevelType w:val="hybridMultilevel"/>
    <w:tmpl w:val="24B25AC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7D6A2C7A"/>
    <w:multiLevelType w:val="hybridMultilevel"/>
    <w:tmpl w:val="7ECE316E"/>
    <w:lvl w:ilvl="0" w:tplc="1BE44AC2">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8"/>
  </w:num>
  <w:num w:numId="4">
    <w:abstractNumId w:val="20"/>
  </w:num>
  <w:num w:numId="5">
    <w:abstractNumId w:val="19"/>
  </w:num>
  <w:num w:numId="6">
    <w:abstractNumId w:val="12"/>
  </w:num>
  <w:num w:numId="7">
    <w:abstractNumId w:val="6"/>
  </w:num>
  <w:num w:numId="8">
    <w:abstractNumId w:val="29"/>
  </w:num>
  <w:num w:numId="9">
    <w:abstractNumId w:val="41"/>
  </w:num>
  <w:num w:numId="10">
    <w:abstractNumId w:val="28"/>
  </w:num>
  <w:num w:numId="11">
    <w:abstractNumId w:val="35"/>
  </w:num>
  <w:num w:numId="12">
    <w:abstractNumId w:val="27"/>
  </w:num>
  <w:num w:numId="13">
    <w:abstractNumId w:val="45"/>
  </w:num>
  <w:num w:numId="14">
    <w:abstractNumId w:val="1"/>
  </w:num>
  <w:num w:numId="15">
    <w:abstractNumId w:val="2"/>
  </w:num>
  <w:num w:numId="16">
    <w:abstractNumId w:val="3"/>
  </w:num>
  <w:num w:numId="17">
    <w:abstractNumId w:val="43"/>
  </w:num>
  <w:num w:numId="18">
    <w:abstractNumId w:val="7"/>
  </w:num>
  <w:num w:numId="19">
    <w:abstractNumId w:val="0"/>
  </w:num>
  <w:num w:numId="20">
    <w:abstractNumId w:val="17"/>
  </w:num>
  <w:num w:numId="21">
    <w:abstractNumId w:val="4"/>
  </w:num>
  <w:num w:numId="22">
    <w:abstractNumId w:val="39"/>
  </w:num>
  <w:num w:numId="23">
    <w:abstractNumId w:val="31"/>
  </w:num>
  <w:num w:numId="24">
    <w:abstractNumId w:val="15"/>
  </w:num>
  <w:num w:numId="25">
    <w:abstractNumId w:val="26"/>
  </w:num>
  <w:num w:numId="26">
    <w:abstractNumId w:val="21"/>
  </w:num>
  <w:num w:numId="27">
    <w:abstractNumId w:val="33"/>
  </w:num>
  <w:num w:numId="28">
    <w:abstractNumId w:val="23"/>
  </w:num>
  <w:num w:numId="29">
    <w:abstractNumId w:val="9"/>
  </w:num>
  <w:num w:numId="30">
    <w:abstractNumId w:val="13"/>
  </w:num>
  <w:num w:numId="31">
    <w:abstractNumId w:val="34"/>
  </w:num>
  <w:num w:numId="32">
    <w:abstractNumId w:val="16"/>
  </w:num>
  <w:num w:numId="33">
    <w:abstractNumId w:val="32"/>
  </w:num>
  <w:num w:numId="34">
    <w:abstractNumId w:val="44"/>
  </w:num>
  <w:num w:numId="35">
    <w:abstractNumId w:val="24"/>
  </w:num>
  <w:num w:numId="36">
    <w:abstractNumId w:val="42"/>
  </w:num>
  <w:num w:numId="37">
    <w:abstractNumId w:val="14"/>
  </w:num>
  <w:num w:numId="38">
    <w:abstractNumId w:val="38"/>
  </w:num>
  <w:num w:numId="39">
    <w:abstractNumId w:val="36"/>
  </w:num>
  <w:num w:numId="40">
    <w:abstractNumId w:val="37"/>
  </w:num>
  <w:num w:numId="41">
    <w:abstractNumId w:val="40"/>
  </w:num>
  <w:num w:numId="42">
    <w:abstractNumId w:val="11"/>
  </w:num>
  <w:num w:numId="43">
    <w:abstractNumId w:val="10"/>
  </w:num>
  <w:num w:numId="44">
    <w:abstractNumId w:val="22"/>
  </w:num>
  <w:num w:numId="45">
    <w:abstractNumId w:val="3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62"/>
    <w:rsid w:val="00031C37"/>
    <w:rsid w:val="00056212"/>
    <w:rsid w:val="00094AD7"/>
    <w:rsid w:val="000A3ABF"/>
    <w:rsid w:val="000A79D5"/>
    <w:rsid w:val="000B357D"/>
    <w:rsid w:val="000D0CD3"/>
    <w:rsid w:val="000D3DD5"/>
    <w:rsid w:val="00107735"/>
    <w:rsid w:val="001406AD"/>
    <w:rsid w:val="00183A89"/>
    <w:rsid w:val="00183AA5"/>
    <w:rsid w:val="0027017F"/>
    <w:rsid w:val="002A4E21"/>
    <w:rsid w:val="002D6B78"/>
    <w:rsid w:val="002E236C"/>
    <w:rsid w:val="00304E73"/>
    <w:rsid w:val="003C5A65"/>
    <w:rsid w:val="003D5161"/>
    <w:rsid w:val="003E5E3D"/>
    <w:rsid w:val="003F04C7"/>
    <w:rsid w:val="00401D90"/>
    <w:rsid w:val="00423807"/>
    <w:rsid w:val="004323D6"/>
    <w:rsid w:val="004437A9"/>
    <w:rsid w:val="00455315"/>
    <w:rsid w:val="00456331"/>
    <w:rsid w:val="004A2660"/>
    <w:rsid w:val="004D7E61"/>
    <w:rsid w:val="004F1C34"/>
    <w:rsid w:val="005470C8"/>
    <w:rsid w:val="005A53FD"/>
    <w:rsid w:val="005F4226"/>
    <w:rsid w:val="00652E8B"/>
    <w:rsid w:val="006A3D96"/>
    <w:rsid w:val="006B3D7F"/>
    <w:rsid w:val="006B7142"/>
    <w:rsid w:val="006E68C6"/>
    <w:rsid w:val="00701B29"/>
    <w:rsid w:val="00702359"/>
    <w:rsid w:val="00717C3B"/>
    <w:rsid w:val="00730562"/>
    <w:rsid w:val="0073590E"/>
    <w:rsid w:val="007A0CBE"/>
    <w:rsid w:val="007C0463"/>
    <w:rsid w:val="007D31F2"/>
    <w:rsid w:val="008275BD"/>
    <w:rsid w:val="0085165B"/>
    <w:rsid w:val="00853D16"/>
    <w:rsid w:val="00864791"/>
    <w:rsid w:val="00865C84"/>
    <w:rsid w:val="00866049"/>
    <w:rsid w:val="0087286D"/>
    <w:rsid w:val="00873653"/>
    <w:rsid w:val="008848E9"/>
    <w:rsid w:val="008A0A7D"/>
    <w:rsid w:val="008C5273"/>
    <w:rsid w:val="008E5E64"/>
    <w:rsid w:val="00942BBB"/>
    <w:rsid w:val="009511BB"/>
    <w:rsid w:val="00960F27"/>
    <w:rsid w:val="009815BD"/>
    <w:rsid w:val="009C3CC7"/>
    <w:rsid w:val="00A01E82"/>
    <w:rsid w:val="00A339D3"/>
    <w:rsid w:val="00A35C41"/>
    <w:rsid w:val="00AC722C"/>
    <w:rsid w:val="00AD34AC"/>
    <w:rsid w:val="00B31EA7"/>
    <w:rsid w:val="00B934F9"/>
    <w:rsid w:val="00BA1EE0"/>
    <w:rsid w:val="00BA569A"/>
    <w:rsid w:val="00BE7D7A"/>
    <w:rsid w:val="00C44B52"/>
    <w:rsid w:val="00C818B8"/>
    <w:rsid w:val="00CF3E75"/>
    <w:rsid w:val="00D11A23"/>
    <w:rsid w:val="00D14A61"/>
    <w:rsid w:val="00D43D2E"/>
    <w:rsid w:val="00D5352B"/>
    <w:rsid w:val="00D55C34"/>
    <w:rsid w:val="00D60F7A"/>
    <w:rsid w:val="00D65004"/>
    <w:rsid w:val="00DB7969"/>
    <w:rsid w:val="00DC1FC8"/>
    <w:rsid w:val="00DC655A"/>
    <w:rsid w:val="00DD0E49"/>
    <w:rsid w:val="00DD7231"/>
    <w:rsid w:val="00DF6DE8"/>
    <w:rsid w:val="00E31049"/>
    <w:rsid w:val="00E5186C"/>
    <w:rsid w:val="00E71B4E"/>
    <w:rsid w:val="00E75C07"/>
    <w:rsid w:val="00E770CE"/>
    <w:rsid w:val="00EA2154"/>
    <w:rsid w:val="00EC6EF6"/>
    <w:rsid w:val="00EE12FF"/>
    <w:rsid w:val="00EF5C7B"/>
    <w:rsid w:val="00F83D29"/>
    <w:rsid w:val="00FA4EF3"/>
    <w:rsid w:val="00FB7F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82FE0B63-9758-46C0-B6A6-0ADDD457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0562"/>
    <w:pPr>
      <w:spacing w:after="200" w:line="276" w:lineRule="auto"/>
    </w:pPr>
    <w:rPr>
      <w:rFonts w:ascii="Cambria" w:eastAsia="Cambria" w:hAnsi="Cambria" w:cs="Times New Roman"/>
    </w:rPr>
  </w:style>
  <w:style w:type="paragraph" w:styleId="Titolo1">
    <w:name w:val="heading 1"/>
    <w:basedOn w:val="Normale"/>
    <w:next w:val="Normale"/>
    <w:link w:val="Titolo1Carattere"/>
    <w:uiPriority w:val="9"/>
    <w:qFormat/>
    <w:rsid w:val="002E23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uiPriority w:val="99"/>
    <w:qFormat/>
    <w:rsid w:val="00107735"/>
    <w:pPr>
      <w:keepNext/>
      <w:spacing w:before="240" w:after="60" w:line="240" w:lineRule="auto"/>
      <w:outlineLvl w:val="2"/>
    </w:pPr>
    <w:rPr>
      <w:rFonts w:ascii="Arial" w:eastAsia="Calibri" w:hAnsi="Arial"/>
      <w:b/>
      <w:bCs/>
      <w:sz w:val="28"/>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30562"/>
    <w:pPr>
      <w:spacing w:before="100" w:beforeAutospacing="1" w:after="100" w:afterAutospacing="1" w:line="240" w:lineRule="auto"/>
    </w:pPr>
    <w:rPr>
      <w:rFonts w:ascii="Times" w:eastAsia="Calibri" w:hAnsi="Times"/>
      <w:sz w:val="20"/>
      <w:szCs w:val="20"/>
      <w:lang w:eastAsia="it-IT"/>
    </w:rPr>
  </w:style>
  <w:style w:type="paragraph" w:styleId="Paragrafoelenco">
    <w:name w:val="List Paragraph"/>
    <w:basedOn w:val="Normale"/>
    <w:uiPriority w:val="99"/>
    <w:qFormat/>
    <w:rsid w:val="00730562"/>
    <w:pPr>
      <w:ind w:left="720"/>
      <w:contextualSpacing/>
    </w:pPr>
    <w:rPr>
      <w:rFonts w:ascii="Times New Roman" w:eastAsia="Calibri" w:hAnsi="Times New Roman"/>
      <w:sz w:val="24"/>
      <w:szCs w:val="24"/>
    </w:rPr>
  </w:style>
  <w:style w:type="paragraph" w:styleId="Intestazione">
    <w:name w:val="header"/>
    <w:basedOn w:val="Normale"/>
    <w:link w:val="IntestazioneCarattere"/>
    <w:uiPriority w:val="99"/>
    <w:unhideWhenUsed/>
    <w:rsid w:val="003D51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161"/>
    <w:rPr>
      <w:rFonts w:ascii="Cambria" w:eastAsia="Cambria" w:hAnsi="Cambria" w:cs="Times New Roman"/>
    </w:rPr>
  </w:style>
  <w:style w:type="paragraph" w:styleId="Pidipagina">
    <w:name w:val="footer"/>
    <w:basedOn w:val="Normale"/>
    <w:link w:val="PidipaginaCarattere"/>
    <w:uiPriority w:val="99"/>
    <w:unhideWhenUsed/>
    <w:rsid w:val="003D51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161"/>
    <w:rPr>
      <w:rFonts w:ascii="Cambria" w:eastAsia="Cambria" w:hAnsi="Cambria" w:cs="Times New Roman"/>
    </w:rPr>
  </w:style>
  <w:style w:type="character" w:customStyle="1" w:styleId="Titolo3Carattere">
    <w:name w:val="Titolo 3 Carattere"/>
    <w:basedOn w:val="Carpredefinitoparagrafo"/>
    <w:link w:val="Titolo3"/>
    <w:uiPriority w:val="99"/>
    <w:rsid w:val="00107735"/>
    <w:rPr>
      <w:rFonts w:ascii="Arial" w:eastAsia="Calibri" w:hAnsi="Arial" w:cs="Times New Roman"/>
      <w:b/>
      <w:bCs/>
      <w:sz w:val="28"/>
      <w:szCs w:val="26"/>
      <w:lang w:eastAsia="it-IT"/>
    </w:rPr>
  </w:style>
  <w:style w:type="paragraph" w:styleId="Testofumetto">
    <w:name w:val="Balloon Text"/>
    <w:basedOn w:val="Normale"/>
    <w:link w:val="TestofumettoCarattere"/>
    <w:uiPriority w:val="99"/>
    <w:semiHidden/>
    <w:rsid w:val="00107735"/>
    <w:pPr>
      <w:spacing w:after="0" w:line="240" w:lineRule="auto"/>
    </w:pPr>
    <w:rPr>
      <w:rFonts w:ascii="Tahoma" w:eastAsia="Calibri" w:hAnsi="Tahoma"/>
      <w:sz w:val="16"/>
      <w:szCs w:val="16"/>
      <w:lang w:eastAsia="it-IT"/>
    </w:rPr>
  </w:style>
  <w:style w:type="character" w:customStyle="1" w:styleId="TestofumettoCarattere">
    <w:name w:val="Testo fumetto Carattere"/>
    <w:basedOn w:val="Carpredefinitoparagrafo"/>
    <w:link w:val="Testofumetto"/>
    <w:uiPriority w:val="99"/>
    <w:semiHidden/>
    <w:rsid w:val="00107735"/>
    <w:rPr>
      <w:rFonts w:ascii="Tahoma" w:eastAsia="Calibri" w:hAnsi="Tahoma" w:cs="Times New Roman"/>
      <w:sz w:val="16"/>
      <w:szCs w:val="16"/>
      <w:lang w:eastAsia="it-IT"/>
    </w:rPr>
  </w:style>
  <w:style w:type="paragraph" w:customStyle="1" w:styleId="intestazione0">
    <w:name w:val="intestazione"/>
    <w:basedOn w:val="Normale"/>
    <w:next w:val="Normale"/>
    <w:uiPriority w:val="99"/>
    <w:rsid w:val="00107735"/>
    <w:pPr>
      <w:tabs>
        <w:tab w:val="center" w:pos="4819"/>
        <w:tab w:val="right" w:pos="9638"/>
      </w:tabs>
      <w:spacing w:after="0" w:line="240" w:lineRule="auto"/>
    </w:pPr>
    <w:rPr>
      <w:rFonts w:ascii="Times New Roman" w:eastAsia="Calibri" w:hAnsi="Times New Roman"/>
      <w:color w:val="000000"/>
      <w:sz w:val="16"/>
      <w:szCs w:val="24"/>
      <w:lang w:eastAsia="it-IT"/>
    </w:rPr>
  </w:style>
  <w:style w:type="paragraph" w:customStyle="1" w:styleId="Default">
    <w:name w:val="Default"/>
    <w:uiPriority w:val="99"/>
    <w:rsid w:val="00107735"/>
    <w:pPr>
      <w:widowControl w:val="0"/>
      <w:autoSpaceDE w:val="0"/>
      <w:autoSpaceDN w:val="0"/>
      <w:adjustRightInd w:val="0"/>
      <w:spacing w:after="0" w:line="240" w:lineRule="auto"/>
    </w:pPr>
    <w:rPr>
      <w:rFonts w:ascii="Cambria" w:eastAsia="Calibri" w:hAnsi="Cambria" w:cs="Cambria"/>
      <w:color w:val="000000"/>
      <w:sz w:val="24"/>
      <w:szCs w:val="24"/>
      <w:lang w:eastAsia="it-IT"/>
    </w:rPr>
  </w:style>
  <w:style w:type="table" w:styleId="Tabellaclassica4">
    <w:name w:val="Table Classic 4"/>
    <w:basedOn w:val="Tabellanormale"/>
    <w:uiPriority w:val="99"/>
    <w:rsid w:val="00107735"/>
    <w:pPr>
      <w:spacing w:after="0" w:line="240" w:lineRule="auto"/>
      <w:jc w:val="center"/>
    </w:pPr>
    <w:rPr>
      <w:rFonts w:ascii="Times New Roman" w:eastAsia="Calibri" w:hAnsi="Times New Roman" w:cs="Times New Roman"/>
      <w:color w:val="FFFF00"/>
      <w:sz w:val="20"/>
      <w:szCs w:val="20"/>
      <w:lang w:eastAsia="it-IT"/>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Elencotabella7">
    <w:name w:val="Table List 7"/>
    <w:basedOn w:val="Tabellanormale"/>
    <w:uiPriority w:val="99"/>
    <w:rsid w:val="00107735"/>
    <w:pPr>
      <w:spacing w:after="0" w:line="240" w:lineRule="auto"/>
    </w:pPr>
    <w:rPr>
      <w:rFonts w:ascii="Times New Roman" w:eastAsia="Calibri" w:hAnsi="Times New Roman" w:cs="Times New Roman"/>
      <w:sz w:val="20"/>
      <w:szCs w:val="20"/>
      <w:lang w:eastAsia="it-I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shd w:val="clear" w:color="auto" w:fill="008000"/>
    </w:tc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aelegante">
    <w:name w:val="Table Elegant"/>
    <w:basedOn w:val="Tabellanormale"/>
    <w:uiPriority w:val="99"/>
    <w:rsid w:val="00107735"/>
    <w:pPr>
      <w:spacing w:after="0" w:line="240" w:lineRule="auto"/>
    </w:pPr>
    <w:rPr>
      <w:rFonts w:ascii="Times New Roman" w:eastAsia="Calibri" w:hAnsi="Times New Roman" w:cs="Times New Roman"/>
      <w:sz w:val="20"/>
      <w:szCs w:val="20"/>
      <w:lang w:eastAsia="it-I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FFCC00"/>
    </w:tcPr>
    <w:tblStylePr w:type="firstRow">
      <w:rPr>
        <w:rFonts w:cs="Times New Roman"/>
      </w:rPr>
      <w:tblPr/>
      <w:tcPr>
        <w:tcBorders>
          <w:tl2br w:val="none" w:sz="0" w:space="0" w:color="auto"/>
          <w:tr2bl w:val="none" w:sz="0" w:space="0" w:color="auto"/>
        </w:tcBorders>
      </w:tcPr>
    </w:tblStylePr>
  </w:style>
  <w:style w:type="character" w:styleId="Collegamentoipertestuale">
    <w:name w:val="Hyperlink"/>
    <w:basedOn w:val="Carpredefinitoparagrafo"/>
    <w:uiPriority w:val="99"/>
    <w:rsid w:val="00107735"/>
    <w:rPr>
      <w:rFonts w:cs="Times New Roman"/>
      <w:color w:val="0000FF"/>
      <w:u w:val="single"/>
    </w:rPr>
  </w:style>
  <w:style w:type="character" w:styleId="Collegamentovisitato">
    <w:name w:val="FollowedHyperlink"/>
    <w:basedOn w:val="Carpredefinitoparagrafo"/>
    <w:uiPriority w:val="99"/>
    <w:rsid w:val="00107735"/>
    <w:rPr>
      <w:rFonts w:cs="Times New Roman"/>
      <w:color w:val="800080"/>
      <w:u w:val="single"/>
    </w:rPr>
  </w:style>
  <w:style w:type="paragraph" w:customStyle="1" w:styleId="font5">
    <w:name w:val="font5"/>
    <w:basedOn w:val="Normale"/>
    <w:uiPriority w:val="99"/>
    <w:rsid w:val="00107735"/>
    <w:pPr>
      <w:spacing w:before="100" w:beforeAutospacing="1" w:after="100" w:afterAutospacing="1" w:line="240" w:lineRule="auto"/>
    </w:pPr>
    <w:rPr>
      <w:rFonts w:ascii="Times New Roman" w:eastAsia="Calibri" w:hAnsi="Times New Roman"/>
      <w:color w:val="000000"/>
      <w:lang w:eastAsia="it-IT"/>
    </w:rPr>
  </w:style>
  <w:style w:type="paragraph" w:customStyle="1" w:styleId="font6">
    <w:name w:val="font6"/>
    <w:basedOn w:val="Normale"/>
    <w:uiPriority w:val="99"/>
    <w:rsid w:val="00107735"/>
    <w:pPr>
      <w:spacing w:before="100" w:beforeAutospacing="1" w:after="100" w:afterAutospacing="1" w:line="240" w:lineRule="auto"/>
    </w:pPr>
    <w:rPr>
      <w:rFonts w:ascii="Times New Roman" w:eastAsia="Calibri" w:hAnsi="Times New Roman"/>
      <w:lang w:eastAsia="it-IT"/>
    </w:rPr>
  </w:style>
  <w:style w:type="paragraph" w:customStyle="1" w:styleId="font7">
    <w:name w:val="font7"/>
    <w:basedOn w:val="Normale"/>
    <w:uiPriority w:val="99"/>
    <w:rsid w:val="00107735"/>
    <w:pPr>
      <w:spacing w:before="100" w:beforeAutospacing="1" w:after="100" w:afterAutospacing="1" w:line="240" w:lineRule="auto"/>
    </w:pPr>
    <w:rPr>
      <w:rFonts w:ascii="Times New Roman" w:eastAsia="Calibri" w:hAnsi="Times New Roman"/>
      <w:color w:val="000000"/>
      <w:lang w:eastAsia="it-IT"/>
    </w:rPr>
  </w:style>
  <w:style w:type="paragraph" w:customStyle="1" w:styleId="font8">
    <w:name w:val="font8"/>
    <w:basedOn w:val="Normale"/>
    <w:uiPriority w:val="99"/>
    <w:rsid w:val="00107735"/>
    <w:pPr>
      <w:spacing w:before="100" w:beforeAutospacing="1" w:after="100" w:afterAutospacing="1" w:line="240" w:lineRule="auto"/>
    </w:pPr>
    <w:rPr>
      <w:rFonts w:ascii="Tahoma" w:eastAsia="Calibri" w:hAnsi="Tahoma" w:cs="Tahoma"/>
      <w:b/>
      <w:bCs/>
      <w:color w:val="000000"/>
      <w:sz w:val="18"/>
      <w:szCs w:val="18"/>
      <w:lang w:eastAsia="it-IT"/>
    </w:rPr>
  </w:style>
  <w:style w:type="paragraph" w:customStyle="1" w:styleId="font9">
    <w:name w:val="font9"/>
    <w:basedOn w:val="Normale"/>
    <w:uiPriority w:val="99"/>
    <w:rsid w:val="00107735"/>
    <w:pPr>
      <w:spacing w:before="100" w:beforeAutospacing="1" w:after="100" w:afterAutospacing="1" w:line="240" w:lineRule="auto"/>
    </w:pPr>
    <w:rPr>
      <w:rFonts w:ascii="Tahoma" w:eastAsia="Calibri" w:hAnsi="Tahoma" w:cs="Tahoma"/>
      <w:b/>
      <w:bCs/>
      <w:color w:val="000000"/>
      <w:lang w:eastAsia="it-IT"/>
    </w:rPr>
  </w:style>
  <w:style w:type="paragraph" w:customStyle="1" w:styleId="font10">
    <w:name w:val="font10"/>
    <w:basedOn w:val="Normale"/>
    <w:uiPriority w:val="99"/>
    <w:rsid w:val="00107735"/>
    <w:pPr>
      <w:spacing w:before="100" w:beforeAutospacing="1" w:after="100" w:afterAutospacing="1" w:line="240" w:lineRule="auto"/>
    </w:pPr>
    <w:rPr>
      <w:rFonts w:ascii="Tahoma" w:eastAsia="Calibri" w:hAnsi="Tahoma" w:cs="Tahoma"/>
      <w:color w:val="000000"/>
      <w:sz w:val="18"/>
      <w:szCs w:val="18"/>
      <w:lang w:eastAsia="it-IT"/>
    </w:rPr>
  </w:style>
  <w:style w:type="paragraph" w:customStyle="1" w:styleId="font11">
    <w:name w:val="font11"/>
    <w:basedOn w:val="Normale"/>
    <w:uiPriority w:val="99"/>
    <w:rsid w:val="00107735"/>
    <w:pPr>
      <w:spacing w:before="100" w:beforeAutospacing="1" w:after="100" w:afterAutospacing="1" w:line="240" w:lineRule="auto"/>
    </w:pPr>
    <w:rPr>
      <w:rFonts w:ascii="Tahoma" w:eastAsia="Calibri" w:hAnsi="Tahoma" w:cs="Tahoma"/>
      <w:b/>
      <w:bCs/>
      <w:color w:val="000000"/>
      <w:sz w:val="18"/>
      <w:szCs w:val="18"/>
      <w:lang w:eastAsia="it-IT"/>
    </w:rPr>
  </w:style>
  <w:style w:type="paragraph" w:customStyle="1" w:styleId="font12">
    <w:name w:val="font12"/>
    <w:basedOn w:val="Normale"/>
    <w:uiPriority w:val="99"/>
    <w:rsid w:val="00107735"/>
    <w:pPr>
      <w:spacing w:before="100" w:beforeAutospacing="1" w:after="100" w:afterAutospacing="1" w:line="240" w:lineRule="auto"/>
    </w:pPr>
    <w:rPr>
      <w:rFonts w:ascii="Times New Roman" w:eastAsia="Calibri" w:hAnsi="Times New Roman"/>
      <w:color w:val="FF0000"/>
      <w:lang w:eastAsia="it-IT"/>
    </w:rPr>
  </w:style>
  <w:style w:type="paragraph" w:customStyle="1" w:styleId="font13">
    <w:name w:val="font13"/>
    <w:basedOn w:val="Normale"/>
    <w:uiPriority w:val="99"/>
    <w:rsid w:val="00107735"/>
    <w:pPr>
      <w:spacing w:before="100" w:beforeAutospacing="1" w:after="100" w:afterAutospacing="1" w:line="240" w:lineRule="auto"/>
    </w:pPr>
    <w:rPr>
      <w:rFonts w:ascii="Times New Roman" w:eastAsia="Calibri" w:hAnsi="Times New Roman"/>
      <w:color w:val="000000"/>
      <w:lang w:eastAsia="it-IT"/>
    </w:rPr>
  </w:style>
  <w:style w:type="paragraph" w:customStyle="1" w:styleId="font14">
    <w:name w:val="font14"/>
    <w:basedOn w:val="Normale"/>
    <w:uiPriority w:val="99"/>
    <w:rsid w:val="00107735"/>
    <w:pPr>
      <w:spacing w:before="100" w:beforeAutospacing="1" w:after="100" w:afterAutospacing="1" w:line="240" w:lineRule="auto"/>
    </w:pPr>
    <w:rPr>
      <w:rFonts w:ascii="Times New Roman" w:eastAsia="Calibri" w:hAnsi="Times New Roman"/>
      <w:color w:val="FF0000"/>
      <w:lang w:eastAsia="it-IT"/>
    </w:rPr>
  </w:style>
  <w:style w:type="paragraph" w:customStyle="1" w:styleId="font15">
    <w:name w:val="font15"/>
    <w:basedOn w:val="Normale"/>
    <w:uiPriority w:val="99"/>
    <w:rsid w:val="00107735"/>
    <w:pPr>
      <w:spacing w:before="100" w:beforeAutospacing="1" w:after="100" w:afterAutospacing="1" w:line="240" w:lineRule="auto"/>
    </w:pPr>
    <w:rPr>
      <w:rFonts w:ascii="Times New Roman" w:eastAsia="Calibri" w:hAnsi="Times New Roman"/>
      <w:color w:val="FF0000"/>
      <w:lang w:eastAsia="it-IT"/>
    </w:rPr>
  </w:style>
  <w:style w:type="paragraph" w:customStyle="1" w:styleId="font16">
    <w:name w:val="font16"/>
    <w:basedOn w:val="Normale"/>
    <w:uiPriority w:val="99"/>
    <w:rsid w:val="00107735"/>
    <w:pPr>
      <w:spacing w:before="100" w:beforeAutospacing="1" w:after="100" w:afterAutospacing="1" w:line="240" w:lineRule="auto"/>
    </w:pPr>
    <w:rPr>
      <w:rFonts w:ascii="Times New Roman" w:eastAsia="Calibri" w:hAnsi="Times New Roman"/>
      <w:color w:val="000000"/>
      <w:lang w:eastAsia="it-IT"/>
    </w:rPr>
  </w:style>
  <w:style w:type="paragraph" w:customStyle="1" w:styleId="xl65">
    <w:name w:val="xl65"/>
    <w:basedOn w:val="Normale"/>
    <w:uiPriority w:val="99"/>
    <w:rsid w:val="00107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66">
    <w:name w:val="xl66"/>
    <w:basedOn w:val="Normale"/>
    <w:uiPriority w:val="99"/>
    <w:rsid w:val="00107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67">
    <w:name w:val="xl67"/>
    <w:basedOn w:val="Normale"/>
    <w:uiPriority w:val="99"/>
    <w:rsid w:val="00107735"/>
    <w:pPr>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68">
    <w:name w:val="xl68"/>
    <w:basedOn w:val="Normale"/>
    <w:uiPriority w:val="99"/>
    <w:rsid w:val="00107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69">
    <w:name w:val="xl69"/>
    <w:basedOn w:val="Normale"/>
    <w:uiPriority w:val="99"/>
    <w:rsid w:val="001077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70">
    <w:name w:val="xl70"/>
    <w:basedOn w:val="Normale"/>
    <w:uiPriority w:val="99"/>
    <w:rsid w:val="001077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71">
    <w:name w:val="xl71"/>
    <w:basedOn w:val="Normale"/>
    <w:uiPriority w:val="99"/>
    <w:rsid w:val="00107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it-IT"/>
    </w:rPr>
  </w:style>
  <w:style w:type="paragraph" w:customStyle="1" w:styleId="xl72">
    <w:name w:val="xl72"/>
    <w:basedOn w:val="Normale"/>
    <w:uiPriority w:val="99"/>
    <w:rsid w:val="001077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Calibri" w:hAnsi="Times New Roman"/>
      <w:sz w:val="24"/>
      <w:szCs w:val="24"/>
      <w:lang w:eastAsia="it-IT"/>
    </w:rPr>
  </w:style>
  <w:style w:type="paragraph" w:customStyle="1" w:styleId="xl73">
    <w:name w:val="xl73"/>
    <w:basedOn w:val="Normale"/>
    <w:uiPriority w:val="99"/>
    <w:rsid w:val="00107735"/>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74">
    <w:name w:val="xl74"/>
    <w:basedOn w:val="Normale"/>
    <w:uiPriority w:val="99"/>
    <w:rsid w:val="001077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Calibri" w:hAnsi="Times New Roman"/>
      <w:sz w:val="24"/>
      <w:szCs w:val="24"/>
      <w:lang w:eastAsia="it-IT"/>
    </w:rPr>
  </w:style>
  <w:style w:type="paragraph" w:customStyle="1" w:styleId="xl75">
    <w:name w:val="xl75"/>
    <w:basedOn w:val="Normale"/>
    <w:uiPriority w:val="99"/>
    <w:rsid w:val="001077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76">
    <w:name w:val="xl76"/>
    <w:basedOn w:val="Normale"/>
    <w:uiPriority w:val="99"/>
    <w:rsid w:val="00107735"/>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77">
    <w:name w:val="xl77"/>
    <w:basedOn w:val="Normale"/>
    <w:uiPriority w:val="99"/>
    <w:rsid w:val="00107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b/>
      <w:bCs/>
      <w:sz w:val="24"/>
      <w:szCs w:val="24"/>
      <w:lang w:eastAsia="it-IT"/>
    </w:rPr>
  </w:style>
  <w:style w:type="paragraph" w:customStyle="1" w:styleId="xl78">
    <w:name w:val="xl78"/>
    <w:basedOn w:val="Normale"/>
    <w:uiPriority w:val="99"/>
    <w:rsid w:val="00107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it-IT"/>
    </w:rPr>
  </w:style>
  <w:style w:type="paragraph" w:customStyle="1" w:styleId="xl79">
    <w:name w:val="xl79"/>
    <w:basedOn w:val="Normale"/>
    <w:uiPriority w:val="99"/>
    <w:rsid w:val="00107735"/>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80">
    <w:name w:val="xl80"/>
    <w:basedOn w:val="Normale"/>
    <w:uiPriority w:val="99"/>
    <w:rsid w:val="0010773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81">
    <w:name w:val="xl81"/>
    <w:basedOn w:val="Normale"/>
    <w:uiPriority w:val="99"/>
    <w:rsid w:val="00107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82">
    <w:name w:val="xl82"/>
    <w:basedOn w:val="Normale"/>
    <w:uiPriority w:val="99"/>
    <w:rsid w:val="00107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b/>
      <w:bCs/>
      <w:sz w:val="24"/>
      <w:szCs w:val="24"/>
      <w:lang w:eastAsia="it-IT"/>
    </w:rPr>
  </w:style>
  <w:style w:type="paragraph" w:customStyle="1" w:styleId="xl83">
    <w:name w:val="xl83"/>
    <w:basedOn w:val="Normale"/>
    <w:uiPriority w:val="99"/>
    <w:rsid w:val="00107735"/>
    <w:pPr>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84">
    <w:name w:val="xl84"/>
    <w:basedOn w:val="Normale"/>
    <w:uiPriority w:val="99"/>
    <w:rsid w:val="001077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Calibri" w:hAnsi="Times New Roman"/>
      <w:b/>
      <w:bCs/>
      <w:sz w:val="24"/>
      <w:szCs w:val="24"/>
      <w:lang w:eastAsia="it-IT"/>
    </w:rPr>
  </w:style>
  <w:style w:type="paragraph" w:customStyle="1" w:styleId="xl85">
    <w:name w:val="xl85"/>
    <w:basedOn w:val="Normale"/>
    <w:uiPriority w:val="99"/>
    <w:rsid w:val="00107735"/>
    <w:pPr>
      <w:pBdr>
        <w:top w:val="single" w:sz="4" w:space="0" w:color="auto"/>
        <w:left w:val="single" w:sz="4" w:space="0" w:color="auto"/>
        <w:right w:val="single" w:sz="4" w:space="0" w:color="auto"/>
      </w:pBdr>
      <w:shd w:val="clear" w:color="auto" w:fill="99CCFF"/>
      <w:spacing w:before="100" w:beforeAutospacing="1" w:after="100" w:afterAutospacing="1" w:line="240" w:lineRule="auto"/>
    </w:pPr>
    <w:rPr>
      <w:rFonts w:ascii="Times New Roman" w:eastAsia="Calibri" w:hAnsi="Times New Roman"/>
      <w:sz w:val="24"/>
      <w:szCs w:val="24"/>
      <w:lang w:eastAsia="it-IT"/>
    </w:rPr>
  </w:style>
  <w:style w:type="paragraph" w:customStyle="1" w:styleId="xl86">
    <w:name w:val="xl86"/>
    <w:basedOn w:val="Normale"/>
    <w:uiPriority w:val="99"/>
    <w:rsid w:val="00107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24"/>
      <w:szCs w:val="24"/>
      <w:lang w:eastAsia="it-IT"/>
    </w:rPr>
  </w:style>
  <w:style w:type="paragraph" w:customStyle="1" w:styleId="xl87">
    <w:name w:val="xl87"/>
    <w:basedOn w:val="Normale"/>
    <w:uiPriority w:val="99"/>
    <w:rsid w:val="001077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24"/>
      <w:szCs w:val="24"/>
      <w:lang w:eastAsia="it-IT"/>
    </w:rPr>
  </w:style>
  <w:style w:type="paragraph" w:customStyle="1" w:styleId="xl88">
    <w:name w:val="xl88"/>
    <w:basedOn w:val="Normale"/>
    <w:uiPriority w:val="99"/>
    <w:rsid w:val="00107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0"/>
      <w:szCs w:val="20"/>
      <w:lang w:eastAsia="it-IT"/>
    </w:rPr>
  </w:style>
  <w:style w:type="paragraph" w:customStyle="1" w:styleId="xl89">
    <w:name w:val="xl89"/>
    <w:basedOn w:val="Normale"/>
    <w:uiPriority w:val="99"/>
    <w:rsid w:val="001077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it-IT"/>
    </w:rPr>
  </w:style>
  <w:style w:type="paragraph" w:customStyle="1" w:styleId="xl90">
    <w:name w:val="xl90"/>
    <w:basedOn w:val="Normale"/>
    <w:uiPriority w:val="99"/>
    <w:rsid w:val="00107735"/>
    <w:pPr>
      <w:pBdr>
        <w:left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Calibri" w:hAnsi="Times New Roman"/>
      <w:b/>
      <w:bCs/>
      <w:sz w:val="24"/>
      <w:szCs w:val="24"/>
      <w:lang w:eastAsia="it-IT"/>
    </w:rPr>
  </w:style>
  <w:style w:type="paragraph" w:customStyle="1" w:styleId="xl91">
    <w:name w:val="xl91"/>
    <w:basedOn w:val="Normale"/>
    <w:uiPriority w:val="99"/>
    <w:rsid w:val="0010773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92">
    <w:name w:val="xl92"/>
    <w:basedOn w:val="Normale"/>
    <w:uiPriority w:val="99"/>
    <w:rsid w:val="0010773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Calibri" w:hAnsi="Times New Roman"/>
      <w:sz w:val="24"/>
      <w:szCs w:val="24"/>
      <w:lang w:eastAsia="it-IT"/>
    </w:rPr>
  </w:style>
  <w:style w:type="paragraph" w:customStyle="1" w:styleId="xl93">
    <w:name w:val="xl93"/>
    <w:basedOn w:val="Normale"/>
    <w:uiPriority w:val="99"/>
    <w:rsid w:val="0010773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Calibri" w:hAnsi="Times New Roman"/>
      <w:sz w:val="20"/>
      <w:szCs w:val="20"/>
      <w:lang w:eastAsia="it-IT"/>
    </w:rPr>
  </w:style>
  <w:style w:type="paragraph" w:customStyle="1" w:styleId="xl94">
    <w:name w:val="xl94"/>
    <w:basedOn w:val="Normale"/>
    <w:uiPriority w:val="99"/>
    <w:rsid w:val="00107735"/>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95">
    <w:name w:val="xl95"/>
    <w:basedOn w:val="Normale"/>
    <w:uiPriority w:val="99"/>
    <w:rsid w:val="0010773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Calibri" w:hAnsi="Times New Roman"/>
      <w:sz w:val="20"/>
      <w:szCs w:val="20"/>
      <w:lang w:eastAsia="it-IT"/>
    </w:rPr>
  </w:style>
  <w:style w:type="paragraph" w:customStyle="1" w:styleId="xl96">
    <w:name w:val="xl96"/>
    <w:basedOn w:val="Normale"/>
    <w:uiPriority w:val="99"/>
    <w:rsid w:val="0010773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Calibri" w:hAnsi="Times New Roman"/>
      <w:b/>
      <w:bCs/>
      <w:sz w:val="24"/>
      <w:szCs w:val="24"/>
      <w:lang w:eastAsia="it-IT"/>
    </w:rPr>
  </w:style>
  <w:style w:type="paragraph" w:customStyle="1" w:styleId="xl97">
    <w:name w:val="xl97"/>
    <w:basedOn w:val="Normale"/>
    <w:uiPriority w:val="99"/>
    <w:rsid w:val="00107735"/>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98">
    <w:name w:val="xl98"/>
    <w:basedOn w:val="Normale"/>
    <w:uiPriority w:val="99"/>
    <w:rsid w:val="0010773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99">
    <w:name w:val="xl99"/>
    <w:basedOn w:val="Normale"/>
    <w:uiPriority w:val="99"/>
    <w:rsid w:val="00107735"/>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100">
    <w:name w:val="xl100"/>
    <w:basedOn w:val="Normale"/>
    <w:uiPriority w:val="99"/>
    <w:rsid w:val="0010773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Calibri" w:hAnsi="Times New Roman"/>
      <w:sz w:val="24"/>
      <w:szCs w:val="24"/>
      <w:lang w:eastAsia="it-IT"/>
    </w:rPr>
  </w:style>
  <w:style w:type="paragraph" w:customStyle="1" w:styleId="xl101">
    <w:name w:val="xl101"/>
    <w:basedOn w:val="Normale"/>
    <w:uiPriority w:val="99"/>
    <w:rsid w:val="00107735"/>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Calibri" w:hAnsi="Times New Roman"/>
      <w:sz w:val="24"/>
      <w:szCs w:val="24"/>
      <w:lang w:eastAsia="it-IT"/>
    </w:rPr>
  </w:style>
  <w:style w:type="paragraph" w:customStyle="1" w:styleId="xl102">
    <w:name w:val="xl102"/>
    <w:basedOn w:val="Normale"/>
    <w:uiPriority w:val="99"/>
    <w:rsid w:val="00107735"/>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Calibri" w:hAnsi="Times New Roman"/>
      <w:sz w:val="20"/>
      <w:szCs w:val="20"/>
      <w:lang w:eastAsia="it-IT"/>
    </w:rPr>
  </w:style>
  <w:style w:type="paragraph" w:customStyle="1" w:styleId="xl103">
    <w:name w:val="xl103"/>
    <w:basedOn w:val="Normale"/>
    <w:uiPriority w:val="99"/>
    <w:rsid w:val="001077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0"/>
      <w:szCs w:val="20"/>
      <w:lang w:eastAsia="it-IT"/>
    </w:rPr>
  </w:style>
  <w:style w:type="paragraph" w:customStyle="1" w:styleId="xl104">
    <w:name w:val="xl104"/>
    <w:basedOn w:val="Normale"/>
    <w:uiPriority w:val="99"/>
    <w:rsid w:val="00107735"/>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Calibri" w:hAnsi="Times New Roman"/>
      <w:sz w:val="20"/>
      <w:szCs w:val="20"/>
      <w:lang w:eastAsia="it-IT"/>
    </w:rPr>
  </w:style>
  <w:style w:type="paragraph" w:customStyle="1" w:styleId="xl105">
    <w:name w:val="xl105"/>
    <w:basedOn w:val="Normale"/>
    <w:uiPriority w:val="99"/>
    <w:rsid w:val="0010773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106">
    <w:name w:val="xl106"/>
    <w:basedOn w:val="Normale"/>
    <w:uiPriority w:val="99"/>
    <w:rsid w:val="0010773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Calibri" w:hAnsi="Times New Roman"/>
      <w:sz w:val="24"/>
      <w:szCs w:val="24"/>
      <w:lang w:eastAsia="it-IT"/>
    </w:rPr>
  </w:style>
  <w:style w:type="paragraph" w:customStyle="1" w:styleId="xl107">
    <w:name w:val="xl107"/>
    <w:basedOn w:val="Normale"/>
    <w:uiPriority w:val="99"/>
    <w:rsid w:val="00107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24"/>
      <w:szCs w:val="24"/>
      <w:lang w:eastAsia="it-IT"/>
    </w:rPr>
  </w:style>
  <w:style w:type="paragraph" w:customStyle="1" w:styleId="xl108">
    <w:name w:val="xl108"/>
    <w:basedOn w:val="Normale"/>
    <w:uiPriority w:val="99"/>
    <w:rsid w:val="00107735"/>
    <w:pPr>
      <w:pBdr>
        <w:left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109">
    <w:name w:val="xl109"/>
    <w:basedOn w:val="Normale"/>
    <w:uiPriority w:val="99"/>
    <w:rsid w:val="00107735"/>
    <w:pPr>
      <w:pBdr>
        <w:left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110">
    <w:name w:val="xl110"/>
    <w:basedOn w:val="Normale"/>
    <w:uiPriority w:val="99"/>
    <w:rsid w:val="00107735"/>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111">
    <w:name w:val="xl111"/>
    <w:basedOn w:val="Normale"/>
    <w:uiPriority w:val="99"/>
    <w:rsid w:val="00107735"/>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Calibri" w:hAnsi="Times New Roman"/>
      <w:sz w:val="24"/>
      <w:szCs w:val="24"/>
      <w:lang w:eastAsia="it-IT"/>
    </w:rPr>
  </w:style>
  <w:style w:type="paragraph" w:customStyle="1" w:styleId="xl112">
    <w:name w:val="xl112"/>
    <w:basedOn w:val="Normale"/>
    <w:uiPriority w:val="99"/>
    <w:rsid w:val="00107735"/>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Calibri" w:hAnsi="Times New Roman"/>
      <w:sz w:val="24"/>
      <w:szCs w:val="24"/>
      <w:lang w:eastAsia="it-IT"/>
    </w:rPr>
  </w:style>
  <w:style w:type="paragraph" w:customStyle="1" w:styleId="xl113">
    <w:name w:val="xl113"/>
    <w:basedOn w:val="Normale"/>
    <w:uiPriority w:val="99"/>
    <w:rsid w:val="00107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24"/>
      <w:szCs w:val="24"/>
      <w:lang w:eastAsia="it-IT"/>
    </w:rPr>
  </w:style>
  <w:style w:type="paragraph" w:customStyle="1" w:styleId="xl114">
    <w:name w:val="xl114"/>
    <w:basedOn w:val="Normale"/>
    <w:uiPriority w:val="99"/>
    <w:rsid w:val="00107735"/>
    <w:pPr>
      <w:pBdr>
        <w:left w:val="single" w:sz="4" w:space="0" w:color="auto"/>
        <w:right w:val="single" w:sz="4" w:space="0" w:color="auto"/>
      </w:pBdr>
      <w:shd w:val="clear" w:color="auto" w:fill="C0C0C0"/>
      <w:spacing w:before="100" w:beforeAutospacing="1" w:after="100" w:afterAutospacing="1" w:line="240" w:lineRule="auto"/>
    </w:pPr>
    <w:rPr>
      <w:rFonts w:ascii="Times New Roman" w:eastAsia="Calibri" w:hAnsi="Times New Roman"/>
      <w:sz w:val="24"/>
      <w:szCs w:val="24"/>
      <w:lang w:eastAsia="it-IT"/>
    </w:rPr>
  </w:style>
  <w:style w:type="paragraph" w:customStyle="1" w:styleId="xl115">
    <w:name w:val="xl115"/>
    <w:basedOn w:val="Normale"/>
    <w:uiPriority w:val="99"/>
    <w:rsid w:val="00107735"/>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Calibri" w:hAnsi="Times New Roman"/>
      <w:sz w:val="24"/>
      <w:szCs w:val="24"/>
      <w:lang w:eastAsia="it-IT"/>
    </w:rPr>
  </w:style>
  <w:style w:type="paragraph" w:customStyle="1" w:styleId="xl116">
    <w:name w:val="xl116"/>
    <w:basedOn w:val="Normale"/>
    <w:uiPriority w:val="99"/>
    <w:rsid w:val="001077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it-IT"/>
    </w:rPr>
  </w:style>
  <w:style w:type="paragraph" w:customStyle="1" w:styleId="xl117">
    <w:name w:val="xl117"/>
    <w:basedOn w:val="Normale"/>
    <w:uiPriority w:val="99"/>
    <w:rsid w:val="00107735"/>
    <w:pPr>
      <w:pBdr>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118">
    <w:name w:val="xl118"/>
    <w:basedOn w:val="Normale"/>
    <w:uiPriority w:val="99"/>
    <w:rsid w:val="0010773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Calibri" w:hAnsi="Times New Roman"/>
      <w:sz w:val="24"/>
      <w:szCs w:val="24"/>
      <w:lang w:eastAsia="it-IT"/>
    </w:rPr>
  </w:style>
  <w:style w:type="paragraph" w:customStyle="1" w:styleId="xl119">
    <w:name w:val="xl119"/>
    <w:basedOn w:val="Normale"/>
    <w:uiPriority w:val="99"/>
    <w:rsid w:val="001077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0"/>
      <w:szCs w:val="20"/>
      <w:lang w:eastAsia="it-IT"/>
    </w:rPr>
  </w:style>
  <w:style w:type="paragraph" w:customStyle="1" w:styleId="xl120">
    <w:name w:val="xl120"/>
    <w:basedOn w:val="Normale"/>
    <w:uiPriority w:val="99"/>
    <w:rsid w:val="001077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0"/>
      <w:szCs w:val="20"/>
      <w:lang w:eastAsia="it-IT"/>
    </w:rPr>
  </w:style>
  <w:style w:type="paragraph" w:customStyle="1" w:styleId="xl121">
    <w:name w:val="xl121"/>
    <w:basedOn w:val="Normale"/>
    <w:uiPriority w:val="99"/>
    <w:rsid w:val="001077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24"/>
      <w:szCs w:val="24"/>
      <w:lang w:eastAsia="it-IT"/>
    </w:rPr>
  </w:style>
  <w:style w:type="paragraph" w:customStyle="1" w:styleId="xl122">
    <w:name w:val="xl122"/>
    <w:basedOn w:val="Normale"/>
    <w:uiPriority w:val="99"/>
    <w:rsid w:val="001077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it-IT"/>
    </w:rPr>
  </w:style>
  <w:style w:type="paragraph" w:customStyle="1" w:styleId="xl123">
    <w:name w:val="xl123"/>
    <w:basedOn w:val="Normale"/>
    <w:uiPriority w:val="99"/>
    <w:rsid w:val="001077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24"/>
      <w:szCs w:val="24"/>
      <w:lang w:eastAsia="it-IT"/>
    </w:rPr>
  </w:style>
  <w:style w:type="paragraph" w:customStyle="1" w:styleId="xl124">
    <w:name w:val="xl124"/>
    <w:basedOn w:val="Normale"/>
    <w:uiPriority w:val="99"/>
    <w:rsid w:val="001077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it-IT"/>
    </w:rPr>
  </w:style>
  <w:style w:type="paragraph" w:customStyle="1" w:styleId="xl125">
    <w:name w:val="xl125"/>
    <w:basedOn w:val="Normale"/>
    <w:uiPriority w:val="99"/>
    <w:rsid w:val="0010773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24"/>
      <w:szCs w:val="24"/>
      <w:lang w:eastAsia="it-IT"/>
    </w:rPr>
  </w:style>
  <w:style w:type="paragraph" w:customStyle="1" w:styleId="xl126">
    <w:name w:val="xl126"/>
    <w:basedOn w:val="Normale"/>
    <w:uiPriority w:val="99"/>
    <w:rsid w:val="0010773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127">
    <w:name w:val="xl127"/>
    <w:basedOn w:val="Normale"/>
    <w:uiPriority w:val="99"/>
    <w:rsid w:val="0010773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128">
    <w:name w:val="xl128"/>
    <w:basedOn w:val="Normale"/>
    <w:uiPriority w:val="99"/>
    <w:rsid w:val="00107735"/>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it-IT"/>
    </w:rPr>
  </w:style>
  <w:style w:type="paragraph" w:customStyle="1" w:styleId="xl129">
    <w:name w:val="xl129"/>
    <w:basedOn w:val="Normale"/>
    <w:uiPriority w:val="99"/>
    <w:rsid w:val="0010773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130">
    <w:name w:val="xl130"/>
    <w:basedOn w:val="Normale"/>
    <w:uiPriority w:val="99"/>
    <w:rsid w:val="0010773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131">
    <w:name w:val="xl131"/>
    <w:basedOn w:val="Normale"/>
    <w:uiPriority w:val="99"/>
    <w:rsid w:val="001077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it-IT"/>
    </w:rPr>
  </w:style>
  <w:style w:type="paragraph" w:customStyle="1" w:styleId="xl132">
    <w:name w:val="xl132"/>
    <w:basedOn w:val="Normale"/>
    <w:uiPriority w:val="99"/>
    <w:rsid w:val="001077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Calibri" w:hAnsi="Times New Roman"/>
      <w:b/>
      <w:bCs/>
      <w:sz w:val="24"/>
      <w:szCs w:val="24"/>
      <w:lang w:eastAsia="it-IT"/>
    </w:rPr>
  </w:style>
  <w:style w:type="paragraph" w:customStyle="1" w:styleId="xl133">
    <w:name w:val="xl133"/>
    <w:basedOn w:val="Normale"/>
    <w:uiPriority w:val="99"/>
    <w:rsid w:val="001077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it-IT"/>
    </w:rPr>
  </w:style>
  <w:style w:type="paragraph" w:customStyle="1" w:styleId="xl134">
    <w:name w:val="xl134"/>
    <w:basedOn w:val="Normale"/>
    <w:uiPriority w:val="99"/>
    <w:rsid w:val="0010773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24"/>
      <w:szCs w:val="24"/>
      <w:lang w:eastAsia="it-IT"/>
    </w:rPr>
  </w:style>
  <w:style w:type="paragraph" w:customStyle="1" w:styleId="xl135">
    <w:name w:val="xl135"/>
    <w:basedOn w:val="Normale"/>
    <w:uiPriority w:val="99"/>
    <w:rsid w:val="00107735"/>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Calibri" w:hAnsi="Times New Roman"/>
      <w:b/>
      <w:bCs/>
      <w:sz w:val="24"/>
      <w:szCs w:val="24"/>
      <w:lang w:eastAsia="it-IT"/>
    </w:rPr>
  </w:style>
  <w:style w:type="paragraph" w:customStyle="1" w:styleId="xl136">
    <w:name w:val="xl136"/>
    <w:basedOn w:val="Normale"/>
    <w:uiPriority w:val="99"/>
    <w:rsid w:val="00107735"/>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Calibri" w:hAnsi="Times New Roman"/>
      <w:sz w:val="20"/>
      <w:szCs w:val="20"/>
      <w:lang w:eastAsia="it-IT"/>
    </w:rPr>
  </w:style>
  <w:style w:type="paragraph" w:customStyle="1" w:styleId="xl137">
    <w:name w:val="xl137"/>
    <w:basedOn w:val="Normale"/>
    <w:uiPriority w:val="99"/>
    <w:rsid w:val="001077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it-IT"/>
    </w:rPr>
  </w:style>
  <w:style w:type="paragraph" w:customStyle="1" w:styleId="xl138">
    <w:name w:val="xl138"/>
    <w:basedOn w:val="Normale"/>
    <w:uiPriority w:val="99"/>
    <w:rsid w:val="001077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it-IT"/>
    </w:rPr>
  </w:style>
  <w:style w:type="paragraph" w:customStyle="1" w:styleId="xl139">
    <w:name w:val="xl139"/>
    <w:basedOn w:val="Normale"/>
    <w:uiPriority w:val="99"/>
    <w:rsid w:val="00107735"/>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it-IT"/>
    </w:rPr>
  </w:style>
  <w:style w:type="paragraph" w:customStyle="1" w:styleId="xl140">
    <w:name w:val="xl140"/>
    <w:basedOn w:val="Normale"/>
    <w:uiPriority w:val="99"/>
    <w:rsid w:val="00107735"/>
    <w:pPr>
      <w:pBdr>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141">
    <w:name w:val="xl141"/>
    <w:basedOn w:val="Normale"/>
    <w:uiPriority w:val="99"/>
    <w:rsid w:val="0010773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142">
    <w:name w:val="xl142"/>
    <w:basedOn w:val="Normale"/>
    <w:uiPriority w:val="99"/>
    <w:rsid w:val="0010773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it-IT"/>
    </w:rPr>
  </w:style>
  <w:style w:type="paragraph" w:customStyle="1" w:styleId="xl143">
    <w:name w:val="xl143"/>
    <w:basedOn w:val="Normale"/>
    <w:uiPriority w:val="99"/>
    <w:rsid w:val="0010773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144">
    <w:name w:val="xl144"/>
    <w:basedOn w:val="Normale"/>
    <w:uiPriority w:val="99"/>
    <w:rsid w:val="00107735"/>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Calibri" w:hAnsi="Times New Roman"/>
      <w:b/>
      <w:bCs/>
      <w:sz w:val="24"/>
      <w:szCs w:val="24"/>
      <w:lang w:eastAsia="it-IT"/>
    </w:rPr>
  </w:style>
  <w:style w:type="paragraph" w:customStyle="1" w:styleId="xl145">
    <w:name w:val="xl145"/>
    <w:basedOn w:val="Normale"/>
    <w:uiPriority w:val="99"/>
    <w:rsid w:val="00107735"/>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Calibri" w:hAnsi="Times New Roman"/>
      <w:b/>
      <w:bCs/>
      <w:sz w:val="24"/>
      <w:szCs w:val="24"/>
      <w:lang w:eastAsia="it-IT"/>
    </w:rPr>
  </w:style>
  <w:style w:type="paragraph" w:customStyle="1" w:styleId="xl146">
    <w:name w:val="xl146"/>
    <w:basedOn w:val="Normale"/>
    <w:uiPriority w:val="99"/>
    <w:rsid w:val="0010773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24"/>
      <w:szCs w:val="24"/>
      <w:lang w:eastAsia="it-IT"/>
    </w:rPr>
  </w:style>
  <w:style w:type="paragraph" w:customStyle="1" w:styleId="xl147">
    <w:name w:val="xl147"/>
    <w:basedOn w:val="Normale"/>
    <w:uiPriority w:val="99"/>
    <w:rsid w:val="00107735"/>
    <w:pPr>
      <w:pBdr>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it-IT"/>
    </w:rPr>
  </w:style>
  <w:style w:type="paragraph" w:customStyle="1" w:styleId="xl148">
    <w:name w:val="xl148"/>
    <w:basedOn w:val="Normale"/>
    <w:uiPriority w:val="99"/>
    <w:rsid w:val="00107735"/>
    <w:pPr>
      <w:pBdr>
        <w:right w:val="single" w:sz="4" w:space="0" w:color="auto"/>
      </w:pBdr>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149">
    <w:name w:val="xl149"/>
    <w:basedOn w:val="Normale"/>
    <w:uiPriority w:val="99"/>
    <w:rsid w:val="0010773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150">
    <w:name w:val="xl150"/>
    <w:basedOn w:val="Normale"/>
    <w:uiPriority w:val="99"/>
    <w:rsid w:val="0010773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151">
    <w:name w:val="xl151"/>
    <w:basedOn w:val="Normale"/>
    <w:uiPriority w:val="99"/>
    <w:rsid w:val="0010773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152">
    <w:name w:val="xl152"/>
    <w:basedOn w:val="Normale"/>
    <w:uiPriority w:val="99"/>
    <w:rsid w:val="00107735"/>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Calibri" w:hAnsi="Times New Roman"/>
      <w:sz w:val="24"/>
      <w:szCs w:val="24"/>
      <w:lang w:eastAsia="it-IT"/>
    </w:rPr>
  </w:style>
  <w:style w:type="paragraph" w:customStyle="1" w:styleId="xl153">
    <w:name w:val="xl153"/>
    <w:basedOn w:val="Normale"/>
    <w:uiPriority w:val="99"/>
    <w:rsid w:val="0010773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154">
    <w:name w:val="xl154"/>
    <w:basedOn w:val="Normale"/>
    <w:uiPriority w:val="99"/>
    <w:rsid w:val="0010773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155">
    <w:name w:val="xl155"/>
    <w:basedOn w:val="Normale"/>
    <w:uiPriority w:val="99"/>
    <w:rsid w:val="001077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Calibri" w:hAnsi="Times New Roman"/>
      <w:b/>
      <w:bCs/>
      <w:sz w:val="24"/>
      <w:szCs w:val="24"/>
      <w:lang w:eastAsia="it-IT"/>
    </w:rPr>
  </w:style>
  <w:style w:type="paragraph" w:customStyle="1" w:styleId="xl156">
    <w:name w:val="xl156"/>
    <w:basedOn w:val="Normale"/>
    <w:uiPriority w:val="99"/>
    <w:rsid w:val="001077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it-IT"/>
    </w:rPr>
  </w:style>
  <w:style w:type="paragraph" w:customStyle="1" w:styleId="xl157">
    <w:name w:val="xl157"/>
    <w:basedOn w:val="Normale"/>
    <w:uiPriority w:val="99"/>
    <w:rsid w:val="00107735"/>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Calibri" w:hAnsi="Times New Roman"/>
      <w:b/>
      <w:bCs/>
      <w:sz w:val="24"/>
      <w:szCs w:val="24"/>
      <w:lang w:eastAsia="it-IT"/>
    </w:rPr>
  </w:style>
  <w:style w:type="paragraph" w:customStyle="1" w:styleId="xl158">
    <w:name w:val="xl158"/>
    <w:basedOn w:val="Normale"/>
    <w:uiPriority w:val="99"/>
    <w:rsid w:val="00107735"/>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Calibri" w:hAnsi="Times New Roman"/>
      <w:b/>
      <w:bCs/>
      <w:sz w:val="24"/>
      <w:szCs w:val="24"/>
      <w:lang w:eastAsia="it-IT"/>
    </w:rPr>
  </w:style>
  <w:style w:type="paragraph" w:customStyle="1" w:styleId="xl159">
    <w:name w:val="xl159"/>
    <w:basedOn w:val="Normale"/>
    <w:uiPriority w:val="99"/>
    <w:rsid w:val="0010773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Calibri" w:hAnsi="Times New Roman"/>
      <w:b/>
      <w:bCs/>
      <w:sz w:val="24"/>
      <w:szCs w:val="24"/>
      <w:lang w:eastAsia="it-IT"/>
    </w:rPr>
  </w:style>
  <w:style w:type="paragraph" w:customStyle="1" w:styleId="xl160">
    <w:name w:val="xl160"/>
    <w:basedOn w:val="Normale"/>
    <w:uiPriority w:val="99"/>
    <w:rsid w:val="001077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Calibri" w:hAnsi="Times New Roman"/>
      <w:b/>
      <w:bCs/>
      <w:sz w:val="28"/>
      <w:szCs w:val="28"/>
      <w:lang w:eastAsia="it-IT"/>
    </w:rPr>
  </w:style>
  <w:style w:type="paragraph" w:customStyle="1" w:styleId="xl161">
    <w:name w:val="xl161"/>
    <w:basedOn w:val="Normale"/>
    <w:uiPriority w:val="99"/>
    <w:rsid w:val="00107735"/>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Calibri" w:hAnsi="Times New Roman"/>
      <w:sz w:val="24"/>
      <w:szCs w:val="24"/>
      <w:lang w:eastAsia="it-IT"/>
    </w:rPr>
  </w:style>
  <w:style w:type="paragraph" w:customStyle="1" w:styleId="xl162">
    <w:name w:val="xl162"/>
    <w:basedOn w:val="Normale"/>
    <w:uiPriority w:val="99"/>
    <w:rsid w:val="001077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0"/>
      <w:szCs w:val="20"/>
      <w:lang w:eastAsia="it-IT"/>
    </w:rPr>
  </w:style>
  <w:style w:type="paragraph" w:customStyle="1" w:styleId="xl163">
    <w:name w:val="xl163"/>
    <w:basedOn w:val="Normale"/>
    <w:uiPriority w:val="99"/>
    <w:rsid w:val="00107735"/>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Calibri" w:hAnsi="Times New Roman"/>
      <w:sz w:val="24"/>
      <w:szCs w:val="24"/>
      <w:lang w:eastAsia="it-IT"/>
    </w:rPr>
  </w:style>
  <w:style w:type="paragraph" w:customStyle="1" w:styleId="xl164">
    <w:name w:val="xl164"/>
    <w:basedOn w:val="Normale"/>
    <w:uiPriority w:val="99"/>
    <w:rsid w:val="00107735"/>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Calibri" w:hAnsi="Times New Roman"/>
      <w:sz w:val="24"/>
      <w:szCs w:val="24"/>
      <w:lang w:eastAsia="it-IT"/>
    </w:rPr>
  </w:style>
  <w:style w:type="paragraph" w:customStyle="1" w:styleId="xl165">
    <w:name w:val="xl165"/>
    <w:basedOn w:val="Normale"/>
    <w:uiPriority w:val="99"/>
    <w:rsid w:val="0010773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Calibri" w:hAnsi="Times New Roman"/>
      <w:sz w:val="24"/>
      <w:szCs w:val="24"/>
      <w:lang w:eastAsia="it-IT"/>
    </w:rPr>
  </w:style>
  <w:style w:type="paragraph" w:customStyle="1" w:styleId="xl166">
    <w:name w:val="xl166"/>
    <w:basedOn w:val="Normale"/>
    <w:uiPriority w:val="99"/>
    <w:rsid w:val="00107735"/>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Calibri" w:hAnsi="Times New Roman"/>
      <w:sz w:val="24"/>
      <w:szCs w:val="24"/>
      <w:lang w:eastAsia="it-IT"/>
    </w:rPr>
  </w:style>
  <w:style w:type="paragraph" w:styleId="Testonotaapidipagina">
    <w:name w:val="footnote text"/>
    <w:basedOn w:val="Normale"/>
    <w:link w:val="TestonotaapidipaginaCarattere"/>
    <w:uiPriority w:val="99"/>
    <w:semiHidden/>
    <w:rsid w:val="00107735"/>
    <w:rPr>
      <w:rFonts w:ascii="Calibri" w:eastAsia="Calibri" w:hAnsi="Calibri"/>
      <w:sz w:val="20"/>
      <w:szCs w:val="20"/>
    </w:rPr>
  </w:style>
  <w:style w:type="character" w:customStyle="1" w:styleId="TestonotaapidipaginaCarattere">
    <w:name w:val="Testo nota a piè di pagina Carattere"/>
    <w:basedOn w:val="Carpredefinitoparagrafo"/>
    <w:link w:val="Testonotaapidipagina"/>
    <w:uiPriority w:val="99"/>
    <w:semiHidden/>
    <w:rsid w:val="00107735"/>
    <w:rPr>
      <w:rFonts w:ascii="Calibri" w:eastAsia="Calibri" w:hAnsi="Calibri" w:cs="Times New Roman"/>
      <w:sz w:val="20"/>
      <w:szCs w:val="20"/>
    </w:rPr>
  </w:style>
  <w:style w:type="character" w:styleId="Rimandonotaapidipagina">
    <w:name w:val="footnote reference"/>
    <w:basedOn w:val="Carpredefinitoparagrafo"/>
    <w:uiPriority w:val="99"/>
    <w:semiHidden/>
    <w:rsid w:val="00107735"/>
    <w:rPr>
      <w:rFonts w:cs="Times New Roman"/>
      <w:vertAlign w:val="superscript"/>
    </w:rPr>
  </w:style>
  <w:style w:type="paragraph" w:styleId="Didascalia">
    <w:name w:val="caption"/>
    <w:basedOn w:val="Normale"/>
    <w:next w:val="Normale"/>
    <w:uiPriority w:val="99"/>
    <w:qFormat/>
    <w:rsid w:val="00107735"/>
    <w:pPr>
      <w:suppressAutoHyphens/>
      <w:spacing w:line="240" w:lineRule="auto"/>
    </w:pPr>
    <w:rPr>
      <w:rFonts w:ascii="Calibri" w:eastAsia="Calibri" w:hAnsi="Calibri"/>
      <w:b/>
      <w:bCs/>
      <w:color w:val="4F81BD"/>
      <w:sz w:val="18"/>
      <w:szCs w:val="18"/>
      <w:lang w:val="en-US" w:eastAsia="zh-CN"/>
    </w:rPr>
  </w:style>
  <w:style w:type="paragraph" w:customStyle="1" w:styleId="Standard">
    <w:name w:val="Standard"/>
    <w:uiPriority w:val="99"/>
    <w:rsid w:val="00107735"/>
    <w:pPr>
      <w:widowControl w:val="0"/>
      <w:suppressAutoHyphens/>
      <w:autoSpaceDN w:val="0"/>
      <w:spacing w:after="0" w:line="240" w:lineRule="auto"/>
      <w:textAlignment w:val="baseline"/>
    </w:pPr>
    <w:rPr>
      <w:rFonts w:ascii="Liberation Serif" w:eastAsia="Calibri" w:hAnsi="Liberation Serif" w:cs="Arial Unicode MS"/>
      <w:kern w:val="3"/>
      <w:sz w:val="24"/>
      <w:szCs w:val="24"/>
      <w:lang w:eastAsia="zh-CN" w:bidi="hi-IN"/>
    </w:rPr>
  </w:style>
  <w:style w:type="paragraph" w:styleId="Corpotesto">
    <w:name w:val="Body Text"/>
    <w:basedOn w:val="Normale"/>
    <w:link w:val="CorpotestoCarattere"/>
    <w:uiPriority w:val="99"/>
    <w:rsid w:val="00107735"/>
    <w:pPr>
      <w:spacing w:after="0" w:line="240" w:lineRule="auto"/>
      <w:jc w:val="center"/>
    </w:pPr>
    <w:rPr>
      <w:rFonts w:ascii="Arial" w:eastAsia="Calibri" w:hAnsi="Arial" w:cs="Arial"/>
      <w:szCs w:val="24"/>
      <w:lang w:eastAsia="it-IT"/>
    </w:rPr>
  </w:style>
  <w:style w:type="character" w:customStyle="1" w:styleId="CorpotestoCarattere">
    <w:name w:val="Corpo testo Carattere"/>
    <w:basedOn w:val="Carpredefinitoparagrafo"/>
    <w:link w:val="Corpotesto"/>
    <w:uiPriority w:val="99"/>
    <w:rsid w:val="00107735"/>
    <w:rPr>
      <w:rFonts w:ascii="Arial" w:eastAsia="Calibri" w:hAnsi="Arial" w:cs="Arial"/>
      <w:szCs w:val="24"/>
      <w:lang w:eastAsia="it-IT"/>
    </w:rPr>
  </w:style>
  <w:style w:type="paragraph" w:customStyle="1" w:styleId="ListParagraph1">
    <w:name w:val="List Paragraph1"/>
    <w:basedOn w:val="Normale"/>
    <w:uiPriority w:val="99"/>
    <w:rsid w:val="00107735"/>
    <w:pPr>
      <w:ind w:left="720"/>
      <w:contextualSpacing/>
    </w:pPr>
    <w:rPr>
      <w:rFonts w:ascii="Calibri" w:eastAsia="Times New Roman" w:hAnsi="Calibri"/>
    </w:rPr>
  </w:style>
  <w:style w:type="character" w:customStyle="1" w:styleId="linkneltesto">
    <w:name w:val="link_nel_testo"/>
    <w:basedOn w:val="Carpredefinitoparagrafo"/>
    <w:uiPriority w:val="99"/>
    <w:rsid w:val="00107735"/>
    <w:rPr>
      <w:rFonts w:cs="Times New Roman"/>
      <w:i/>
      <w:iCs/>
    </w:rPr>
  </w:style>
  <w:style w:type="character" w:customStyle="1" w:styleId="CarattereCarattere6">
    <w:name w:val="Carattere Carattere6"/>
    <w:uiPriority w:val="99"/>
    <w:rsid w:val="00107735"/>
    <w:rPr>
      <w:rFonts w:eastAsia="Times New Roman"/>
      <w:sz w:val="24"/>
      <w:lang w:eastAsia="it-IT"/>
    </w:rPr>
  </w:style>
  <w:style w:type="paragraph" w:customStyle="1" w:styleId="Style17">
    <w:name w:val="Style17"/>
    <w:basedOn w:val="Normale"/>
    <w:uiPriority w:val="99"/>
    <w:rsid w:val="00107735"/>
    <w:pPr>
      <w:widowControl w:val="0"/>
      <w:autoSpaceDE w:val="0"/>
      <w:autoSpaceDN w:val="0"/>
      <w:adjustRightInd w:val="0"/>
      <w:spacing w:after="0" w:line="240" w:lineRule="auto"/>
      <w:jc w:val="both"/>
    </w:pPr>
    <w:rPr>
      <w:rFonts w:ascii="Times New Roman" w:eastAsia="Times New Roman" w:hAnsi="Times New Roman"/>
      <w:sz w:val="24"/>
      <w:szCs w:val="24"/>
      <w:lang w:eastAsia="it-IT"/>
    </w:rPr>
  </w:style>
  <w:style w:type="character" w:customStyle="1" w:styleId="CarattereCarattere">
    <w:name w:val="Carattere Carattere"/>
    <w:basedOn w:val="Carpredefinitoparagrafo"/>
    <w:uiPriority w:val="99"/>
    <w:semiHidden/>
    <w:rsid w:val="00107735"/>
    <w:rPr>
      <w:rFonts w:ascii="Tahoma" w:hAnsi="Tahoma" w:cs="Tahoma"/>
      <w:sz w:val="16"/>
      <w:szCs w:val="16"/>
    </w:rPr>
  </w:style>
  <w:style w:type="paragraph" w:customStyle="1" w:styleId="Paragrafoelenco1">
    <w:name w:val="Paragrafo elenco1"/>
    <w:basedOn w:val="Normale"/>
    <w:uiPriority w:val="99"/>
    <w:rsid w:val="00107735"/>
    <w:pPr>
      <w:ind w:left="720"/>
      <w:contextualSpacing/>
    </w:pPr>
    <w:rPr>
      <w:rFonts w:ascii="Calibri" w:eastAsia="Times New Roman" w:hAnsi="Calibri"/>
    </w:rPr>
  </w:style>
  <w:style w:type="paragraph" w:styleId="Mappadocumento">
    <w:name w:val="Document Map"/>
    <w:basedOn w:val="Normale"/>
    <w:link w:val="MappadocumentoCarattere"/>
    <w:uiPriority w:val="99"/>
    <w:semiHidden/>
    <w:rsid w:val="00107735"/>
    <w:pPr>
      <w:shd w:val="clear" w:color="auto" w:fill="000080"/>
    </w:pPr>
    <w:rPr>
      <w:rFonts w:ascii="Tahoma" w:eastAsia="Calibri" w:hAnsi="Tahoma" w:cs="Tahoma"/>
      <w:sz w:val="20"/>
      <w:szCs w:val="20"/>
    </w:rPr>
  </w:style>
  <w:style w:type="character" w:customStyle="1" w:styleId="MappadocumentoCarattere">
    <w:name w:val="Mappa documento Carattere"/>
    <w:basedOn w:val="Carpredefinitoparagrafo"/>
    <w:link w:val="Mappadocumento"/>
    <w:uiPriority w:val="99"/>
    <w:semiHidden/>
    <w:rsid w:val="00107735"/>
    <w:rPr>
      <w:rFonts w:ascii="Tahoma" w:eastAsia="Calibri" w:hAnsi="Tahoma" w:cs="Tahoma"/>
      <w:sz w:val="20"/>
      <w:szCs w:val="20"/>
      <w:shd w:val="clear" w:color="auto" w:fill="000080"/>
    </w:rPr>
  </w:style>
  <w:style w:type="character" w:customStyle="1" w:styleId="Titolo1Carattere">
    <w:name w:val="Titolo 1 Carattere"/>
    <w:basedOn w:val="Carpredefinitoparagrafo"/>
    <w:link w:val="Titolo1"/>
    <w:uiPriority w:val="9"/>
    <w:rsid w:val="002E236C"/>
    <w:rPr>
      <w:rFonts w:asciiTheme="majorHAnsi" w:eastAsiaTheme="majorEastAsia" w:hAnsiTheme="majorHAnsi" w:cstheme="majorBidi"/>
      <w:color w:val="2E74B5" w:themeColor="accent1" w:themeShade="BF"/>
      <w:sz w:val="32"/>
      <w:szCs w:val="32"/>
    </w:rPr>
  </w:style>
  <w:style w:type="character" w:styleId="Numeropagina">
    <w:name w:val="page number"/>
    <w:basedOn w:val="Carpredefinitoparagrafo"/>
    <w:uiPriority w:val="99"/>
    <w:rsid w:val="002E236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03830">
      <w:bodyDiv w:val="1"/>
      <w:marLeft w:val="0"/>
      <w:marRight w:val="0"/>
      <w:marTop w:val="0"/>
      <w:marBottom w:val="0"/>
      <w:divBdr>
        <w:top w:val="none" w:sz="0" w:space="0" w:color="auto"/>
        <w:left w:val="none" w:sz="0" w:space="0" w:color="auto"/>
        <w:bottom w:val="none" w:sz="0" w:space="0" w:color="auto"/>
        <w:right w:val="none" w:sz="0" w:space="0" w:color="auto"/>
      </w:divBdr>
      <w:divsChild>
        <w:div w:id="1306472713">
          <w:marLeft w:val="0"/>
          <w:marRight w:val="0"/>
          <w:marTop w:val="0"/>
          <w:marBottom w:val="0"/>
          <w:divBdr>
            <w:top w:val="none" w:sz="0" w:space="0" w:color="auto"/>
            <w:left w:val="none" w:sz="0" w:space="0" w:color="auto"/>
            <w:bottom w:val="none" w:sz="0" w:space="0" w:color="auto"/>
            <w:right w:val="none" w:sz="0" w:space="0" w:color="auto"/>
          </w:divBdr>
          <w:divsChild>
            <w:div w:id="421679835">
              <w:marLeft w:val="0"/>
              <w:marRight w:val="0"/>
              <w:marTop w:val="0"/>
              <w:marBottom w:val="0"/>
              <w:divBdr>
                <w:top w:val="none" w:sz="0" w:space="0" w:color="auto"/>
                <w:left w:val="none" w:sz="0" w:space="0" w:color="auto"/>
                <w:bottom w:val="none" w:sz="0" w:space="0" w:color="auto"/>
                <w:right w:val="none" w:sz="0" w:space="0" w:color="auto"/>
              </w:divBdr>
              <w:divsChild>
                <w:div w:id="1382052632">
                  <w:marLeft w:val="0"/>
                  <w:marRight w:val="0"/>
                  <w:marTop w:val="0"/>
                  <w:marBottom w:val="0"/>
                  <w:divBdr>
                    <w:top w:val="none" w:sz="0" w:space="0" w:color="auto"/>
                    <w:left w:val="none" w:sz="0" w:space="0" w:color="auto"/>
                    <w:bottom w:val="none" w:sz="0" w:space="0" w:color="auto"/>
                    <w:right w:val="none" w:sz="0" w:space="0" w:color="auto"/>
                  </w:divBdr>
                  <w:divsChild>
                    <w:div w:id="678002392">
                      <w:marLeft w:val="0"/>
                      <w:marRight w:val="0"/>
                      <w:marTop w:val="0"/>
                      <w:marBottom w:val="0"/>
                      <w:divBdr>
                        <w:top w:val="none" w:sz="0" w:space="0" w:color="auto"/>
                        <w:left w:val="none" w:sz="0" w:space="0" w:color="auto"/>
                        <w:bottom w:val="none" w:sz="0" w:space="0" w:color="auto"/>
                        <w:right w:val="none" w:sz="0" w:space="0" w:color="auto"/>
                      </w:divBdr>
                      <w:divsChild>
                        <w:div w:id="1932541043">
                          <w:marLeft w:val="0"/>
                          <w:marRight w:val="0"/>
                          <w:marTop w:val="0"/>
                          <w:marBottom w:val="0"/>
                          <w:divBdr>
                            <w:top w:val="none" w:sz="0" w:space="0" w:color="auto"/>
                            <w:left w:val="none" w:sz="0" w:space="0" w:color="auto"/>
                            <w:bottom w:val="none" w:sz="0" w:space="0" w:color="auto"/>
                            <w:right w:val="none" w:sz="0" w:space="0" w:color="auto"/>
                          </w:divBdr>
                          <w:divsChild>
                            <w:div w:id="1615793786">
                              <w:marLeft w:val="0"/>
                              <w:marRight w:val="0"/>
                              <w:marTop w:val="0"/>
                              <w:marBottom w:val="0"/>
                              <w:divBdr>
                                <w:top w:val="none" w:sz="0" w:space="0" w:color="auto"/>
                                <w:left w:val="none" w:sz="0" w:space="0" w:color="auto"/>
                                <w:bottom w:val="none" w:sz="0" w:space="0" w:color="auto"/>
                                <w:right w:val="none" w:sz="0" w:space="0" w:color="auto"/>
                              </w:divBdr>
                              <w:divsChild>
                                <w:div w:id="2138404097">
                                  <w:marLeft w:val="0"/>
                                  <w:marRight w:val="0"/>
                                  <w:marTop w:val="0"/>
                                  <w:marBottom w:val="0"/>
                                  <w:divBdr>
                                    <w:top w:val="none" w:sz="0" w:space="0" w:color="auto"/>
                                    <w:left w:val="none" w:sz="0" w:space="0" w:color="auto"/>
                                    <w:bottom w:val="none" w:sz="0" w:space="0" w:color="auto"/>
                                    <w:right w:val="none" w:sz="0" w:space="0" w:color="auto"/>
                                  </w:divBdr>
                                  <w:divsChild>
                                    <w:div w:id="1540431050">
                                      <w:marLeft w:val="0"/>
                                      <w:marRight w:val="0"/>
                                      <w:marTop w:val="0"/>
                                      <w:marBottom w:val="0"/>
                                      <w:divBdr>
                                        <w:top w:val="none" w:sz="0" w:space="0" w:color="auto"/>
                                        <w:left w:val="none" w:sz="0" w:space="0" w:color="auto"/>
                                        <w:bottom w:val="none" w:sz="0" w:space="0" w:color="auto"/>
                                        <w:right w:val="none" w:sz="0" w:space="0" w:color="auto"/>
                                      </w:divBdr>
                                      <w:divsChild>
                                        <w:div w:id="1864248369">
                                          <w:marLeft w:val="0"/>
                                          <w:marRight w:val="0"/>
                                          <w:marTop w:val="0"/>
                                          <w:marBottom w:val="0"/>
                                          <w:divBdr>
                                            <w:top w:val="none" w:sz="0" w:space="0" w:color="auto"/>
                                            <w:left w:val="none" w:sz="0" w:space="0" w:color="auto"/>
                                            <w:bottom w:val="none" w:sz="0" w:space="0" w:color="auto"/>
                                            <w:right w:val="none" w:sz="0" w:space="0" w:color="auto"/>
                                          </w:divBdr>
                                          <w:divsChild>
                                            <w:div w:id="1072847127">
                                              <w:marLeft w:val="0"/>
                                              <w:marRight w:val="0"/>
                                              <w:marTop w:val="0"/>
                                              <w:marBottom w:val="0"/>
                                              <w:divBdr>
                                                <w:top w:val="none" w:sz="0" w:space="0" w:color="auto"/>
                                                <w:left w:val="none" w:sz="0" w:space="0" w:color="auto"/>
                                                <w:bottom w:val="none" w:sz="0" w:space="0" w:color="auto"/>
                                                <w:right w:val="none" w:sz="0" w:space="0" w:color="auto"/>
                                              </w:divBdr>
                                              <w:divsChild>
                                                <w:div w:id="1816557598">
                                                  <w:marLeft w:val="0"/>
                                                  <w:marRight w:val="0"/>
                                                  <w:marTop w:val="0"/>
                                                  <w:marBottom w:val="0"/>
                                                  <w:divBdr>
                                                    <w:top w:val="none" w:sz="0" w:space="0" w:color="auto"/>
                                                    <w:left w:val="none" w:sz="0" w:space="0" w:color="auto"/>
                                                    <w:bottom w:val="none" w:sz="0" w:space="0" w:color="auto"/>
                                                    <w:right w:val="none" w:sz="0" w:space="0" w:color="auto"/>
                                                  </w:divBdr>
                                                  <w:divsChild>
                                                    <w:div w:id="1495148112">
                                                      <w:marLeft w:val="0"/>
                                                      <w:marRight w:val="0"/>
                                                      <w:marTop w:val="0"/>
                                                      <w:marBottom w:val="0"/>
                                                      <w:divBdr>
                                                        <w:top w:val="none" w:sz="0" w:space="0" w:color="auto"/>
                                                        <w:left w:val="none" w:sz="0" w:space="0" w:color="auto"/>
                                                        <w:bottom w:val="none" w:sz="0" w:space="0" w:color="auto"/>
                                                        <w:right w:val="none" w:sz="0" w:space="0" w:color="auto"/>
                                                      </w:divBdr>
                                                      <w:divsChild>
                                                        <w:div w:id="2147235045">
                                                          <w:marLeft w:val="0"/>
                                                          <w:marRight w:val="0"/>
                                                          <w:marTop w:val="0"/>
                                                          <w:marBottom w:val="0"/>
                                                          <w:divBdr>
                                                            <w:top w:val="none" w:sz="0" w:space="0" w:color="auto"/>
                                                            <w:left w:val="none" w:sz="0" w:space="0" w:color="auto"/>
                                                            <w:bottom w:val="none" w:sz="0" w:space="0" w:color="auto"/>
                                                            <w:right w:val="none" w:sz="0" w:space="0" w:color="auto"/>
                                                          </w:divBdr>
                                                          <w:divsChild>
                                                            <w:div w:id="398140338">
                                                              <w:marLeft w:val="0"/>
                                                              <w:marRight w:val="0"/>
                                                              <w:marTop w:val="0"/>
                                                              <w:marBottom w:val="0"/>
                                                              <w:divBdr>
                                                                <w:top w:val="none" w:sz="0" w:space="0" w:color="auto"/>
                                                                <w:left w:val="none" w:sz="0" w:space="0" w:color="auto"/>
                                                                <w:bottom w:val="none" w:sz="0" w:space="0" w:color="auto"/>
                                                                <w:right w:val="none" w:sz="0" w:space="0" w:color="auto"/>
                                                              </w:divBdr>
                                                              <w:divsChild>
                                                                <w:div w:id="1752848240">
                                                                  <w:marLeft w:val="0"/>
                                                                  <w:marRight w:val="0"/>
                                                                  <w:marTop w:val="0"/>
                                                                  <w:marBottom w:val="0"/>
                                                                  <w:divBdr>
                                                                    <w:top w:val="none" w:sz="0" w:space="0" w:color="auto"/>
                                                                    <w:left w:val="none" w:sz="0" w:space="0" w:color="auto"/>
                                                                    <w:bottom w:val="none" w:sz="0" w:space="0" w:color="auto"/>
                                                                    <w:right w:val="none" w:sz="0" w:space="0" w:color="auto"/>
                                                                  </w:divBdr>
                                                                  <w:divsChild>
                                                                    <w:div w:id="1140459313">
                                                                      <w:marLeft w:val="0"/>
                                                                      <w:marRight w:val="0"/>
                                                                      <w:marTop w:val="0"/>
                                                                      <w:marBottom w:val="0"/>
                                                                      <w:divBdr>
                                                                        <w:top w:val="none" w:sz="0" w:space="0" w:color="auto"/>
                                                                        <w:left w:val="none" w:sz="0" w:space="0" w:color="auto"/>
                                                                        <w:bottom w:val="none" w:sz="0" w:space="0" w:color="auto"/>
                                                                        <w:right w:val="none" w:sz="0" w:space="0" w:color="auto"/>
                                                                      </w:divBdr>
                                                                      <w:divsChild>
                                                                        <w:div w:id="932393996">
                                                                          <w:marLeft w:val="0"/>
                                                                          <w:marRight w:val="0"/>
                                                                          <w:marTop w:val="0"/>
                                                                          <w:marBottom w:val="0"/>
                                                                          <w:divBdr>
                                                                            <w:top w:val="none" w:sz="0" w:space="0" w:color="auto"/>
                                                                            <w:left w:val="none" w:sz="0" w:space="0" w:color="auto"/>
                                                                            <w:bottom w:val="none" w:sz="0" w:space="0" w:color="auto"/>
                                                                            <w:right w:val="none" w:sz="0" w:space="0" w:color="auto"/>
                                                                          </w:divBdr>
                                                                          <w:divsChild>
                                                                            <w:div w:id="187454801">
                                                                              <w:marLeft w:val="0"/>
                                                                              <w:marRight w:val="0"/>
                                                                              <w:marTop w:val="0"/>
                                                                              <w:marBottom w:val="0"/>
                                                                              <w:divBdr>
                                                                                <w:top w:val="none" w:sz="0" w:space="0" w:color="auto"/>
                                                                                <w:left w:val="none" w:sz="0" w:space="0" w:color="auto"/>
                                                                                <w:bottom w:val="none" w:sz="0" w:space="0" w:color="auto"/>
                                                                                <w:right w:val="none" w:sz="0" w:space="0" w:color="auto"/>
                                                                              </w:divBdr>
                                                                              <w:divsChild>
                                                                                <w:div w:id="1274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54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mera.it/leg17/494?idLegislatura=17&amp;categoria=038&amp;" TargetMode="External"/><Relationship Id="rId18" Type="http://schemas.openxmlformats.org/officeDocument/2006/relationships/image" Target="media/image11.png"/><Relationship Id="rId26" Type="http://schemas.openxmlformats.org/officeDocument/2006/relationships/hyperlink" Target="http://www.anticorruzione.it/portal/public/classic/MenuServizio/FAQ/Trasparenza" TargetMode="External"/><Relationship Id="rId39" Type="http://schemas.openxmlformats.org/officeDocument/2006/relationships/hyperlink" Target="http://www.anticorruzione.it/portal/public/classic/MenuServizio/FAQ/Trasparenza" TargetMode="External"/><Relationship Id="rId3" Type="http://schemas.openxmlformats.org/officeDocument/2006/relationships/styles" Target="styles.xml"/><Relationship Id="rId21" Type="http://schemas.openxmlformats.org/officeDocument/2006/relationships/hyperlink" Target="http://www.anticorruzione.it/portal/public/classic/MenuServizio/FAQ/Trasparenza" TargetMode="External"/><Relationship Id="rId34" Type="http://schemas.openxmlformats.org/officeDocument/2006/relationships/hyperlink" Target="http://www.anticorruzione.it/portal/public/classic/MenuServizio/FAQ/Trasparenza" TargetMode="External"/><Relationship Id="rId42" Type="http://schemas.openxmlformats.org/officeDocument/2006/relationships/hyperlink" Target="http://www.anticorruzione.it/portal/public/classic/MenuServizio/FAQ/Trasparenza" TargetMode="External"/><Relationship Id="rId47" Type="http://schemas.openxmlformats.org/officeDocument/2006/relationships/hyperlink" Target="http://www.anticorruzione.it/portal/public/classic/MenuServizio/FAQ/Trasparenza" TargetMode="External"/><Relationship Id="rId50" Type="http://schemas.openxmlformats.org/officeDocument/2006/relationships/hyperlink" Target="http://www.anticorruzione.it/portal/public/classic/MenuServizio/FAQ/Trasparenza" TargetMode="Externa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0.emf"/><Relationship Id="rId25" Type="http://schemas.openxmlformats.org/officeDocument/2006/relationships/hyperlink" Target="http://www.anticorruzione.it/portal/public/classic/MenuServizio/FAQ/Trasparenza" TargetMode="External"/><Relationship Id="rId33" Type="http://schemas.openxmlformats.org/officeDocument/2006/relationships/hyperlink" Target="http://www.anticorruzione.it/portal/public/classic/MenuServizio/FAQ/Trasparenza" TargetMode="External"/><Relationship Id="rId38" Type="http://schemas.openxmlformats.org/officeDocument/2006/relationships/hyperlink" Target="http://www.anticorruzione.it/portal/public/classic/MenuServizio/FAQ/Trasparenza" TargetMode="External"/><Relationship Id="rId46" Type="http://schemas.openxmlformats.org/officeDocument/2006/relationships/hyperlink" Target="http://www.anticorruzione.it/portal/public/classic/MenuServizio/FAQ/Trasparenza"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hyperlink" Target="http://www.anticorruzione.it/portal/public/classic/MenuServizio/FAQ/Trasparenza" TargetMode="External"/><Relationship Id="rId41" Type="http://schemas.openxmlformats.org/officeDocument/2006/relationships/hyperlink" Target="http://www.anticorruzione.it/portal/public/classic/MenuServizio/FAQ/Trasparen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hyperlink" Target="http://www.anticorruzione.it/portal/public/classic/MenuServizio/FAQ/Trasparenza" TargetMode="External"/><Relationship Id="rId32" Type="http://schemas.openxmlformats.org/officeDocument/2006/relationships/hyperlink" Target="http://www.anticorruzione.it/portal/public/classic/MenuServizio/FAQ/Trasparenza" TargetMode="External"/><Relationship Id="rId37" Type="http://schemas.openxmlformats.org/officeDocument/2006/relationships/hyperlink" Target="http://www.anticorruzione.it/portal/public/classic/MenuServizio/FAQ/Trasparenza" TargetMode="External"/><Relationship Id="rId40" Type="http://schemas.openxmlformats.org/officeDocument/2006/relationships/hyperlink" Target="http://www.anticorruzione.it/portal/public/classic/MenuServizio/FAQ/Trasparenza" TargetMode="External"/><Relationship Id="rId45" Type="http://schemas.openxmlformats.org/officeDocument/2006/relationships/hyperlink" Target="http://www.anticorruzione.it/portal/public/classic/MenuServizio/FAQ/Trasparenza"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www.anticorruzione.it/portal/public/classic/MenuServizio/FAQ/Trasparenza" TargetMode="External"/><Relationship Id="rId28" Type="http://schemas.openxmlformats.org/officeDocument/2006/relationships/hyperlink" Target="http://www.anticorruzione.it/portal/public/classic/MenuServizio/FAQ/Trasparenza" TargetMode="External"/><Relationship Id="rId36" Type="http://schemas.openxmlformats.org/officeDocument/2006/relationships/hyperlink" Target="http://www.anticorruzione.it/portal/public/classic/MenuServizio/FAQ/Trasparenza" TargetMode="External"/><Relationship Id="rId49" Type="http://schemas.openxmlformats.org/officeDocument/2006/relationships/hyperlink" Target="http://www.anticorruzione.it/portal/public/classic/MenuServizio/FAQ/Trasparenza" TargetMode="External"/><Relationship Id="rId10" Type="http://schemas.openxmlformats.org/officeDocument/2006/relationships/image" Target="media/image4.emf"/><Relationship Id="rId19" Type="http://schemas.openxmlformats.org/officeDocument/2006/relationships/image" Target="media/image12.emf"/><Relationship Id="rId31" Type="http://schemas.openxmlformats.org/officeDocument/2006/relationships/hyperlink" Target="http://www.anticorruzione.it/portal/public/classic/MenuServizio/FAQ/Trasparenza" TargetMode="External"/><Relationship Id="rId44" Type="http://schemas.openxmlformats.org/officeDocument/2006/relationships/hyperlink" Target="http://www.anticorruzione.it/portal/public/classic/MenuServizio/FAQ/Trasparenza"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7.PNG"/><Relationship Id="rId22" Type="http://schemas.openxmlformats.org/officeDocument/2006/relationships/hyperlink" Target="http://www.anticorruzione.it/portal/public/classic/MenuServizio/FAQ/Trasparenza" TargetMode="External"/><Relationship Id="rId27" Type="http://schemas.openxmlformats.org/officeDocument/2006/relationships/hyperlink" Target="http://www.anticorruzione.it/portal/public/classic/MenuServizio/FAQ/Trasparenza" TargetMode="External"/><Relationship Id="rId30" Type="http://schemas.openxmlformats.org/officeDocument/2006/relationships/hyperlink" Target="http://www.anticorruzione.it/portal/public/classic/MenuServizio/FAQ/Trasparenza" TargetMode="External"/><Relationship Id="rId35" Type="http://schemas.openxmlformats.org/officeDocument/2006/relationships/hyperlink" Target="http://www.anticorruzione.it/portal/public/classic/MenuServizio/FAQ/Trasparenza" TargetMode="External"/><Relationship Id="rId43" Type="http://schemas.openxmlformats.org/officeDocument/2006/relationships/hyperlink" Target="http://www.anticorruzione.it/portal/public/classic/MenuServizio/FAQ/Trasparenza" TargetMode="External"/><Relationship Id="rId48" Type="http://schemas.openxmlformats.org/officeDocument/2006/relationships/hyperlink" Target="http://www.anticorruzione.it/portal/public/classic/MenuServizio/FAQ/Trasparenza" TargetMode="External"/><Relationship Id="rId8" Type="http://schemas.openxmlformats.org/officeDocument/2006/relationships/image" Target="media/image2.emf"/><Relationship Id="rId51"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C97D7-80FD-4FE5-B88B-B8C2452F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252</Pages>
  <Words>83669</Words>
  <Characters>476916</Characters>
  <Application>Microsoft Office Word</Application>
  <DocSecurity>0</DocSecurity>
  <Lines>3974</Lines>
  <Paragraphs>1118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Pinzuti</dc:creator>
  <cp:keywords/>
  <dc:description/>
  <cp:lastModifiedBy>Michele Pinzuti</cp:lastModifiedBy>
  <cp:revision>70</cp:revision>
  <cp:lastPrinted>2017-01-30T10:42:00Z</cp:lastPrinted>
  <dcterms:created xsi:type="dcterms:W3CDTF">2017-01-21T23:38:00Z</dcterms:created>
  <dcterms:modified xsi:type="dcterms:W3CDTF">2017-01-30T10:45:00Z</dcterms:modified>
</cp:coreProperties>
</file>